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COSTS AWARDED AGAINST VANCOUVER AREA ANIC PARISHES' TRUSTEES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June 30th, 2010</w:t>
      </w:r>
    </w:p>
    <w:p>
      <w:pPr>
        <w:spacing w:after="160"/>
      </w:pPr>
      <w:r>
        <w:rPr>
          <w:rFonts w:ascii="Arial" w:cs="Arial" w:eastAsia="Arial" w:hAnsi="Arial"/>
          <w:sz w:val="22"/>
          <w:szCs w:val="22"/>
        </w:rPr>
        <w:t xml:space="preserve">From the ANiC newsletter:</w:t>
      </w:r>
    </w:p>
    <w:p>
      <w:pPr>
        <w:spacing w:after="160"/>
      </w:pPr>
      <w:r>
        <w:rPr>
          <w:rFonts w:ascii="Arial" w:cs="Arial" w:eastAsia="Arial" w:hAnsi="Arial"/>
          <w:sz w:val="22"/>
          <w:szCs w:val="22"/>
        </w:rPr>
        <w:t xml:space="preserve">Mr Justice Kelleher today ordered the Trustees of four Vancouver area ANIC parishes to pay "costs" to the Bishop and Diocese of New Westminster resulting from the trial approximately one year ago. The amount of "costs" is still to be determined, but does not cover actual legal expenses of the diocese. Generally, 30-35% of actual legal expenses are recovered.</w:t>
      </w:r>
    </w:p>
    <w:p>
      <w:pPr>
        <w:spacing w:after="160"/>
      </w:pPr>
      <w:r>
        <w:rPr>
          <w:rFonts w:ascii="Arial" w:cs="Arial" w:eastAsia="Arial" w:hAnsi="Arial"/>
          <w:sz w:val="22"/>
          <w:szCs w:val="22"/>
        </w:rPr>
        <w:t xml:space="preserve">The trial judge also ordered the parish of St Matthews to allow the diocese to hold one service per week at St Matthews in Abbotsford. Counsel for the parishes had argued that the trial judge did not have the jurisdiction to make any orders as to what should happen in the church properties pending the outcome of the appeal as those are terms that only the Court of Appeal can decide.</w:t>
      </w:r>
    </w:p>
    <w:p>
      <w:pPr>
        <w:spacing w:after="160"/>
      </w:pPr>
      <w:r>
        <w:rPr>
          <w:rFonts w:ascii="Arial" w:cs="Arial" w:eastAsia="Arial" w:hAnsi="Arial"/>
          <w:sz w:val="22"/>
          <w:szCs w:val="22"/>
        </w:rPr>
        <w:t xml:space="preserve">"What is very surprising about these supplemental decisions is that the judge chose to ignore all the case law in respect of costs and the issue of indemnification of Trustees for their costs in similar trust cases", said Cheryl Chang, Chancellor for ANiC. "Although the judge in his trial judgement found, "...The plaintiffs are also trustees of their respective parish corporations, and bring the current proceedings in that capacity", he decided today that the Trustees were not acting as Trustees "in the ordinary sense". Therefore, in his oral reasons, he said this was an exception to the case law involving costs."</w:t>
      </w:r>
    </w:p>
    <w:p>
      <w:pPr>
        <w:spacing w:after="160"/>
      </w:pPr>
      <w:r>
        <w:rPr>
          <w:rFonts w:ascii="Arial" w:cs="Arial" w:eastAsia="Arial" w:hAnsi="Arial"/>
          <w:sz w:val="22"/>
          <w:szCs w:val="22"/>
        </w:rPr>
        <w:t xml:space="preserve">This supplementary decision will be appealed as part of the greater appeal. The matter is set to be heard in the BC Court of Appeal commencing September 13, 2010.</w:t>
      </w:r>
    </w:p>
    <w:p>
      <w:pPr>
        <w:spacing w:after="160"/>
      </w:pPr>
      <w:r>
        <w:rPr>
          <w:rFonts w:ascii="Arial" w:cs="Arial" w:eastAsia="Arial" w:hAnsi="Arial"/>
          <w:sz w:val="22"/>
          <w:szCs w:val="22"/>
        </w:rPr>
        <w:t xml:space="preserve">It is worth noting that, in what seems to be a gratuitously vindictive ruling, the costs have been awarded against the parishes' Trustees - against parishioners who are volunteers.</w:t>
      </w:r>
    </w:p>
    <w:p>
      <w:pPr>
        <w:spacing w:after="160"/>
      </w:pPr>
      <w:r>
        <w:rPr>
          <w:rFonts w:ascii="Arial" w:cs="Arial" w:eastAsia="Arial" w:hAnsi="Arial"/>
          <w:sz w:val="22"/>
          <w:szCs w:val="22"/>
        </w:rPr>
        <w:t xml:space="preserve">Perhaps conservatives who remain in the Anglican Church of Canada might like to ponder this: the attacks by the church of which you are members are against individual brother and sister Christians who are trying to stand up for what they believe to be right. Has the time not come for you vigorously to oppose these tactics by the Anglican Church of Canada, to make it known that - even by secular standards - this is wrong and something you are not prepared to put up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COSTS AWARDED AGAINST VANCOUVER AREA ANIC PARISHES' TRUSTEES</dc:title>
  <dc:creator>VirtueOnline Archive</dc:creator>
  <cp:lastModifiedBy>Un-named</cp:lastModifiedBy>
  <cp:revision>1</cp:revision>
  <dcterms:created xsi:type="dcterms:W3CDTF">2026-04-22T11:55:16.527Z</dcterms:created>
  <dcterms:modified xsi:type="dcterms:W3CDTF">2026-04-22T11:55:16.527Z</dcterms:modified>
</cp:coreProperties>
</file>

<file path=docProps/custom.xml><?xml version="1.0" encoding="utf-8"?>
<Properties xmlns="http://schemas.openxmlformats.org/officeDocument/2006/custom-properties" xmlns:vt="http://schemas.openxmlformats.org/officeDocument/2006/docPropsVTypes"/>
</file>