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METHODIST VOTES SHOW FIRMER OPPOSITION TO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One of the most effective arguments made by pro-homosexuality advocates is the claim that their cause is historically inevitable. They speak as if society and the church were everywhere headed in a single direction: toward individual autonomy, moral relativism, and the affirmation of every kind of sexual activity among consenting adults. If they do not win this year, the pro-homosexuality advocates assume, give them a few more years and their victory will be certain.</w:t>
      </w:r>
    </w:p>
    <w:p>
      <w:pPr>
        <w:spacing w:after="160"/>
      </w:pPr>
      <w:r>
        <w:rPr>
          <w:rFonts w:ascii="Arial" w:cs="Arial" w:eastAsia="Arial" w:hAnsi="Arial"/>
          <w:sz w:val="22"/>
          <w:szCs w:val="22"/>
        </w:rPr>
        <w:t xml:space="preserve">This kind of thinking lies behind the ceaseless liberal appeals for “more dialogue” on homosexuality—premised on the supposition that such “dialogue,” over time, would necessarily yield a pro-homosexuality conclusion. Faced with these claims of historical inevitability, some conservatives lose heart. And some moderates are tempted to climb onto the sexual liberationist bandwagon.</w:t>
      </w:r>
    </w:p>
    <w:p>
      <w:pPr>
        <w:spacing w:after="160"/>
      </w:pPr>
      <w:r>
        <w:rPr>
          <w:rFonts w:ascii="Arial" w:cs="Arial" w:eastAsia="Arial" w:hAnsi="Arial"/>
          <w:sz w:val="22"/>
          <w:szCs w:val="22"/>
        </w:rPr>
        <w:t xml:space="preserve">But history does not support this kind of crude determinism. The long-term record does not show a continuous descent into sexual license, but rather a movement back and forth between stricter and laxer sexual standards. Nor does the church necessarily follow the trends in society. Both the early Church and the early Methodist movement stood strongly for the sanctity of marriage, during periods of great sexual license.</w:t>
      </w:r>
    </w:p>
    <w:p>
      <w:pPr>
        <w:spacing w:after="160"/>
      </w:pPr>
      <w:r>
        <w:rPr>
          <w:rFonts w:ascii="Arial" w:cs="Arial" w:eastAsia="Arial" w:hAnsi="Arial"/>
          <w:sz w:val="22"/>
          <w:szCs w:val="22"/>
        </w:rPr>
        <w:t xml:space="preserve">If the pro-homosexuality cause were historically inevitable, we would expect that polls and votes would show a clear tendency in that direction. In fact, the trends are mixed. In U.S. society, toleration of homosexuals has increased; however, moral disapproval of homosexual behavior remains fairly widespread. Recent polls indicate rising public resistance to same-sex marriage.</w:t>
      </w:r>
    </w:p>
    <w:p>
      <w:pPr>
        <w:spacing w:after="160"/>
      </w:pPr>
      <w:r>
        <w:rPr>
          <w:rFonts w:ascii="Arial" w:cs="Arial" w:eastAsia="Arial" w:hAnsi="Arial"/>
          <w:sz w:val="22"/>
          <w:szCs w:val="22"/>
        </w:rPr>
        <w:t xml:space="preserve">The United Methodist Church, America’s second-largest Protestant denomination, strengthened its stance against homosexuality at its recent General Conference in Pittsburgh. Comparing multiple votes in 2004 and 2000, the margins against any acceptance of homosexual practice were slightly larger this year than in 2000. Here are the vote percentages on the key measures that were debated:</w:t>
      </w:r>
    </w:p>
    <w:p>
      <w:pPr>
        <w:spacing w:after="160"/>
      </w:pPr>
      <w:r>
        <w:rPr>
          <w:rFonts w:ascii="Arial" w:cs="Arial" w:eastAsia="Arial" w:hAnsi="Arial"/>
          <w:sz w:val="22"/>
          <w:szCs w:val="22"/>
        </w:rPr>
        <w:t xml:space="preserve">Affirmation in Social Principles that the United Methodist Church does not condone homosexual practice</w:t>
      </w:r>
    </w:p>
    <w:p>
      <w:pPr>
        <w:spacing w:after="160"/>
      </w:pPr>
      <w:r>
        <w:rPr>
          <w:rFonts w:ascii="Arial" w:cs="Arial" w:eastAsia="Arial" w:hAnsi="Arial"/>
          <w:sz w:val="22"/>
          <w:szCs w:val="22"/>
        </w:rPr>
        <w:t xml:space="preserve">2000 – 65 percent</w:t>
      </w:r>
    </w:p>
    <w:p>
      <w:pPr>
        <w:spacing w:after="160"/>
      </w:pPr>
      <w:r>
        <w:rPr>
          <w:rFonts w:ascii="Arial" w:cs="Arial" w:eastAsia="Arial" w:hAnsi="Arial"/>
          <w:sz w:val="22"/>
          <w:szCs w:val="22"/>
        </w:rPr>
        <w:t xml:space="preserve">2004 – 60 percent (slightly strengthened with removal of modifier “although”)</w:t>
      </w:r>
    </w:p>
    <w:p>
      <w:pPr>
        <w:spacing w:after="160"/>
      </w:pPr>
      <w:r>
        <w:rPr>
          <w:rFonts w:ascii="Arial" w:cs="Arial" w:eastAsia="Arial" w:hAnsi="Arial"/>
          <w:sz w:val="22"/>
          <w:szCs w:val="22"/>
        </w:rPr>
        <w:t xml:space="preserve">Prohibition of practicing homosexual clergy</w:t>
      </w:r>
    </w:p>
    <w:p>
      <w:pPr>
        <w:spacing w:after="160"/>
      </w:pPr>
      <w:r>
        <w:rPr>
          <w:rFonts w:ascii="Arial" w:cs="Arial" w:eastAsia="Arial" w:hAnsi="Arial"/>
          <w:sz w:val="22"/>
          <w:szCs w:val="22"/>
        </w:rPr>
        <w:t xml:space="preserve">2000 – 67 percent</w:t>
      </w:r>
    </w:p>
    <w:p>
      <w:pPr>
        <w:spacing w:after="160"/>
      </w:pPr>
      <w:r>
        <w:rPr>
          <w:rFonts w:ascii="Arial" w:cs="Arial" w:eastAsia="Arial" w:hAnsi="Arial"/>
          <w:sz w:val="22"/>
          <w:szCs w:val="22"/>
        </w:rPr>
        <w:t xml:space="preserve">2004 – 72 percent (slightly strengthened with removal of modifier “since”)</w:t>
      </w:r>
    </w:p>
    <w:p>
      <w:pPr>
        <w:spacing w:after="160"/>
      </w:pPr>
      <w:r>
        <w:rPr>
          <w:rFonts w:ascii="Arial" w:cs="Arial" w:eastAsia="Arial" w:hAnsi="Arial"/>
          <w:sz w:val="22"/>
          <w:szCs w:val="22"/>
        </w:rPr>
        <w:t xml:space="preserve">Prohibition of same-sex unions in churches or by clergy</w:t>
      </w:r>
    </w:p>
    <w:p>
      <w:pPr>
        <w:spacing w:after="160"/>
      </w:pPr>
      <w:r>
        <w:rPr>
          <w:rFonts w:ascii="Arial" w:cs="Arial" w:eastAsia="Arial" w:hAnsi="Arial"/>
          <w:sz w:val="22"/>
          <w:szCs w:val="22"/>
        </w:rPr>
        <w:t xml:space="preserve">2000 - 69 percent</w:t>
      </w:r>
    </w:p>
    <w:p>
      <w:pPr>
        <w:spacing w:after="160"/>
      </w:pPr>
      <w:r>
        <w:rPr>
          <w:rFonts w:ascii="Arial" w:cs="Arial" w:eastAsia="Arial" w:hAnsi="Arial"/>
          <w:sz w:val="22"/>
          <w:szCs w:val="22"/>
        </w:rPr>
        <w:t xml:space="preserve">2004 - 80 percent</w:t>
      </w:r>
    </w:p>
    <w:p>
      <w:pPr>
        <w:spacing w:after="160"/>
      </w:pPr>
      <w:r>
        <w:rPr>
          <w:rFonts w:ascii="Arial" w:cs="Arial" w:eastAsia="Arial" w:hAnsi="Arial"/>
          <w:sz w:val="22"/>
          <w:szCs w:val="22"/>
        </w:rPr>
        <w:t xml:space="preserve">Requirement of celibacy in singleness and monogamy in marriage</w:t>
      </w:r>
    </w:p>
    <w:p>
      <w:pPr>
        <w:spacing w:after="160"/>
      </w:pPr>
      <w:r>
        <w:rPr>
          <w:rFonts w:ascii="Arial" w:cs="Arial" w:eastAsia="Arial" w:hAnsi="Arial"/>
          <w:sz w:val="22"/>
          <w:szCs w:val="22"/>
        </w:rPr>
        <w:t xml:space="preserve">2000 – 80 percent</w:t>
      </w:r>
    </w:p>
    <w:p>
      <w:pPr>
        <w:spacing w:after="160"/>
      </w:pPr>
      <w:r>
        <w:rPr>
          <w:rFonts w:ascii="Arial" w:cs="Arial" w:eastAsia="Arial" w:hAnsi="Arial"/>
          <w:sz w:val="22"/>
          <w:szCs w:val="22"/>
        </w:rPr>
        <w:t xml:space="preserve">2004 – 85 percent</w:t>
      </w:r>
    </w:p>
    <w:p>
      <w:pPr>
        <w:spacing w:after="160"/>
      </w:pPr>
      <w:r>
        <w:rPr>
          <w:rFonts w:ascii="Arial" w:cs="Arial" w:eastAsia="Arial" w:hAnsi="Arial"/>
          <w:sz w:val="22"/>
          <w:szCs w:val="22"/>
        </w:rPr>
        <w:t xml:space="preserve">Prohibition of funding for pro-homosexuality advocacy by general church</w:t>
      </w:r>
    </w:p>
    <w:p>
      <w:pPr>
        <w:spacing w:after="160"/>
      </w:pPr>
      <w:r>
        <w:rPr>
          <w:rFonts w:ascii="Arial" w:cs="Arial" w:eastAsia="Arial" w:hAnsi="Arial"/>
          <w:sz w:val="22"/>
          <w:szCs w:val="22"/>
        </w:rPr>
        <w:t xml:space="preserve">2000 – 70 percent</w:t>
      </w:r>
    </w:p>
    <w:p>
      <w:pPr>
        <w:spacing w:after="160"/>
      </w:pPr>
      <w:r>
        <w:rPr>
          <w:rFonts w:ascii="Arial" w:cs="Arial" w:eastAsia="Arial" w:hAnsi="Arial"/>
          <w:sz w:val="22"/>
          <w:szCs w:val="22"/>
        </w:rPr>
        <w:t xml:space="preserve">2004 – 99 percent</w:t>
      </w:r>
    </w:p>
    <w:p>
      <w:pPr>
        <w:spacing w:after="160"/>
      </w:pPr>
      <w:r>
        <w:rPr>
          <w:rFonts w:ascii="Arial" w:cs="Arial" w:eastAsia="Arial" w:hAnsi="Arial"/>
          <w:sz w:val="22"/>
          <w:szCs w:val="22"/>
        </w:rPr>
        <w:t xml:space="preserve">The 2004 General Conference also voted to reinforce the United Methodist Church’s disapproval of homosexual practice in several other areas. By 77 percent, it endorsed laws in civil society that define marriage as the union of one man and one woman. By 54 percent, it voted to expand the prohibition of pro-homosexuality advocacy to include local annual conferences. By 51 percent, the General Conference voted to specify that chargeable offenses include not being celibate in singleness or not being faithful in marriage, being a self-avowed practicing homosexual, or conducting same-sex ceremonies.</w:t>
      </w:r>
    </w:p>
    <w:p>
      <w:pPr>
        <w:spacing w:after="160"/>
      </w:pPr>
      <w:r>
        <w:rPr>
          <w:rFonts w:ascii="Arial" w:cs="Arial" w:eastAsia="Arial" w:hAnsi="Arial"/>
          <w:sz w:val="22"/>
          <w:szCs w:val="22"/>
        </w:rPr>
        <w:t xml:space="preserve">Both in 2000 and 2004, numerous attempts at “compromise” language were rejected. In 2000, the closest vote on compromise language was a proposal to change “we do not condone” to “many do not condone.” This weaker language was defeated by 54 percent. In 2004, a compromise that would have said that the United Methodist Church does not condone homosexual practice, but recognizes disagreement on the matter, was defeated by 55 percent.</w:t>
      </w:r>
    </w:p>
    <w:p>
      <w:pPr>
        <w:spacing w:after="160"/>
      </w:pPr>
      <w:r>
        <w:rPr>
          <w:rFonts w:ascii="Arial" w:cs="Arial" w:eastAsia="Arial" w:hAnsi="Arial"/>
          <w:sz w:val="22"/>
          <w:szCs w:val="22"/>
        </w:rPr>
        <w:t xml:space="preserve">In short, there is little in the vote totals of the 2004 General Conference to suggest that the United Methodist Church is softening its disapproval of homosexual practice. The one issue on which there was a smaller margin than in 2000 was on the “incompatibility” language in the Social Principles. Here the margin was reduced from 65 percent to 60 percent. This difference could be explained by some degree of deference in the full Conference this year to the decision of its more liberal Church and Society Committee, which preferred the “compromise” language. Four years ago, this legislation was handled by the more conservative Faith and Order Committee, which recommended an unaltered “incompatibility” standard.</w:t>
      </w:r>
    </w:p>
    <w:p>
      <w:pPr>
        <w:spacing w:after="160"/>
      </w:pPr>
      <w:r>
        <w:rPr>
          <w:rFonts w:ascii="Arial" w:cs="Arial" w:eastAsia="Arial" w:hAnsi="Arial"/>
          <w:sz w:val="22"/>
          <w:szCs w:val="22"/>
        </w:rPr>
        <w:t xml:space="preserve">The one attempt by an official United Methodist agency to change the church’s stance on homosexuality came from the General Board of Church and Society, which proposed amending the Social Principles to read that “faithful Christians disagree on the compatibility of homosexual practice with Christian teaching.” This proposal was rejected by 95 percent.</w:t>
      </w:r>
    </w:p>
    <w:p>
      <w:pPr>
        <w:spacing w:after="160"/>
      </w:pPr>
      <w:r>
        <w:rPr>
          <w:rFonts w:ascii="Arial" w:cs="Arial" w:eastAsia="Arial" w:hAnsi="Arial"/>
          <w:sz w:val="22"/>
          <w:szCs w:val="22"/>
        </w:rPr>
        <w:t xml:space="preserve">With future General Conferences filled with increasing numbers of delegates from more conservative regions, including the overseas conferences, there is little reason to expect any diminution in the margins upholding traditional Christian teachings on sexuality. Perhaps the pro-homosexuality advocates, and others, need to reconsider their claims of historical inevitability.</w:t>
      </w:r>
    </w:p>
    <w:p>
      <w:pPr>
        <w:spacing w:after="160"/>
      </w:pPr>
      <w:r>
        <w:rPr>
          <w:rFonts w:ascii="Arial" w:cs="Arial" w:eastAsia="Arial" w:hAnsi="Arial"/>
          <w:sz w:val="22"/>
          <w:szCs w:val="22"/>
        </w:rPr>
        <w:t xml:space="preserve">Mark Tooley writes for the The Institute on Religion and Democracy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METHODIST VOTES SHOW FIRMER OPPOSITION TO HOMOSEXUALITY</dc:title>
  <dc:creator>VirtueOnline Archive</dc:creator>
  <cp:lastModifiedBy>Un-named</cp:lastModifiedBy>
  <cp:revision>1</cp:revision>
  <dcterms:created xsi:type="dcterms:W3CDTF">2026-04-22T11:54:05.305Z</dcterms:created>
  <dcterms:modified xsi:type="dcterms:W3CDTF">2026-04-22T11:54:05.305Z</dcterms:modified>
</cp:coreProperties>
</file>

<file path=docProps/custom.xml><?xml version="1.0" encoding="utf-8"?>
<Properties xmlns="http://schemas.openxmlformats.org/officeDocument/2006/custom-properties" xmlns:vt="http://schemas.openxmlformats.org/officeDocument/2006/docPropsVTypes"/>
</file>