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TIME FOR THE CHURCH OF ENGLAND TO CUT THE KNOT: PARTS 1 AND 2</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CHAPLIN</w:t>
      </w:r>
    </w:p>
    <w:p>
      <w:pPr>
        <w:spacing w:after="160"/>
      </w:pPr>
      <w:r>
        <w:rPr>
          <w:rFonts w:ascii="Arial" w:cs="Arial" w:eastAsia="Arial" w:hAnsi="Arial"/>
          <w:sz w:val="22"/>
          <w:szCs w:val="22"/>
        </w:rPr>
        <w:t xml:space="preserve">THEOS</w:t>
      </w:r>
    </w:p>
    <w:p>
      <w:pPr>
        <w:spacing w:after="160"/>
      </w:pPr>
      <w:r>
        <w:rPr>
          <w:rFonts w:ascii="Arial" w:cs="Arial" w:eastAsia="Arial" w:hAnsi="Arial"/>
          <w:sz w:val="22"/>
          <w:szCs w:val="22"/>
        </w:rPr>
        <w:t xml:space="preserve">http://www.theosthinktank.co.uk/</w:t>
      </w:r>
    </w:p>
    <w:p>
      <w:pPr>
        <w:spacing w:after="160"/>
      </w:pPr>
      <w:r>
        <w:rPr>
          <w:rFonts w:ascii="Arial" w:cs="Arial" w:eastAsia="Arial" w:hAnsi="Arial"/>
          <w:sz w:val="22"/>
          <w:szCs w:val="22"/>
        </w:rPr>
        <w:t xml:space="preserve">This is the first in a two part series on establishment. Next week another guest blogger will argue that the Church of England should continue to be established.</w:t>
      </w:r>
    </w:p>
    <w:p>
      <w:pPr>
        <w:spacing w:after="160"/>
      </w:pPr>
      <w:r>
        <w:rPr>
          <w:rFonts w:ascii="Arial" w:cs="Arial" w:eastAsia="Arial" w:hAnsi="Arial"/>
          <w:sz w:val="22"/>
          <w:szCs w:val="22"/>
        </w:rPr>
        <w:t xml:space="preserve">Three issues vexing the Church of England right now, and two more that could lurch into view very soon, suggest that the time has come for the Church to initiate steps towards disestablishment.</w:t>
      </w:r>
    </w:p>
    <w:p>
      <w:pPr>
        <w:spacing w:after="160"/>
      </w:pPr>
      <w:r>
        <w:rPr>
          <w:rFonts w:ascii="Arial" w:cs="Arial" w:eastAsia="Arial" w:hAnsi="Arial"/>
          <w:sz w:val="22"/>
          <w:szCs w:val="22"/>
        </w:rPr>
        <w:t xml:space="preserve">The Church is already embroiled in two controversies which bring to the fore the irksome constraints on its freedom of action that even our diminished form of establishment still imposes. The first is its increasingly angst-ridden struggle to approve women bishops.</w:t>
      </w:r>
    </w:p>
    <w:p>
      <w:pPr>
        <w:spacing w:after="160"/>
      </w:pPr>
      <w:r>
        <w:rPr>
          <w:rFonts w:ascii="Arial" w:cs="Arial" w:eastAsia="Arial" w:hAnsi="Arial"/>
          <w:sz w:val="22"/>
          <w:szCs w:val="22"/>
        </w:rPr>
        <w:t xml:space="preserve">The decision on 9th July to defer a vote on the substantive issue until November gives the Church a breathing space to craft a more judicious accommodation between its deeply divided wings than has so far been available. Now one might have thought that this is a dilemma for the Church to resolve entirely through its own internal decision-procedures. But by virtue of establishment the Church doesn’t have purely “internal” decision-procedures, since the legislative proposals (“Measures”) of its governing body, General Synod, require parliamentary approval, first by the Ecclesiastical Committee and then by both Houses of Parliament (at which point the Measure becomes an Act of Parliament). Members of this Committee are now openly warning that if the Church doesn’t approve women bishops in ways compliant with the state’s equality laws, Parliament may overrule it.</w:t>
      </w:r>
    </w:p>
    <w:p>
      <w:pPr>
        <w:spacing w:after="160"/>
      </w:pPr>
      <w:r>
        <w:rPr>
          <w:rFonts w:ascii="Arial" w:cs="Arial" w:eastAsia="Arial" w:hAnsi="Arial"/>
          <w:sz w:val="22"/>
          <w:szCs w:val="22"/>
        </w:rPr>
        <w:t xml:space="preserve">This is not a fanciful prospect, since it blocked or delayed other Measures as recently as 1984, 1989 and 2002. An exasperated Sir Tony Baldry, the MP charged with officially speaking for the Church in the Commons, has also warned that Parliament might decline to retain bishops in the House of Lords if the Church stalls any longer.</w:t>
      </w:r>
    </w:p>
    <w:p>
      <w:pPr>
        <w:spacing w:after="160"/>
      </w:pPr>
      <w:r>
        <w:rPr>
          <w:rFonts w:ascii="Arial" w:cs="Arial" w:eastAsia="Arial" w:hAnsi="Arial"/>
          <w:sz w:val="22"/>
          <w:szCs w:val="22"/>
        </w:rPr>
        <w:t xml:space="preserve">But whatever one’s view of women bishops (I am in favour), the mere fact that an organ of state should have any say at all either in the substance or the timing of such a profoundly theologically contested decision is surely at best faintly ridiculous and at worst constitutionally offensive. The Church should seize this moment to insist on full control of its own decisions and move to end parliamentary accountability entirely.</w:t>
      </w:r>
    </w:p>
    <w:p>
      <w:pPr>
        <w:spacing w:after="160"/>
      </w:pPr>
      <w:r>
        <w:rPr>
          <w:rFonts w:ascii="Arial" w:cs="Arial" w:eastAsia="Arial" w:hAnsi="Arial"/>
          <w:sz w:val="22"/>
          <w:szCs w:val="22"/>
        </w:rPr>
        <w:t xml:space="preserve">The second issue is the imminent prospect that the state will legalise same-sex marriage. Warnings of a constitutional train wreck in which the theological authority of the Church might be dramatically pitted against the political authority of the state may have been overblown. But if Parliament changes the general legal meaning of marriage by redefining it as a union of only “two persons” rather than of a man and a woman, it will thrust the Church into the position of having to function as registrar of “marriages” it currently cannot recognise.</w:t>
      </w:r>
    </w:p>
    <w:p>
      <w:pPr>
        <w:spacing w:after="160"/>
      </w:pPr>
      <w:r>
        <w:rPr>
          <w:rFonts w:ascii="Arial" w:cs="Arial" w:eastAsia="Arial" w:hAnsi="Arial"/>
          <w:sz w:val="22"/>
          <w:szCs w:val="22"/>
        </w:rPr>
        <w:t xml:space="preserve">Both opponents and supporters of same-sex marriage should be alarmed at the prospect of the Church being required by the state to act against its considered theological convictions. Those who today might rejoice at the Church being pressed against its will to implicitly sanction a “progressive” view of marriage, might tomorrow lament its being blocked from, say, pursuing a “progressive” investment policy by a right-wing competition law.</w:t>
      </w:r>
    </w:p>
    <w:p>
      <w:pPr>
        <w:spacing w:after="160"/>
      </w:pPr>
      <w:r>
        <w:rPr>
          <w:rFonts w:ascii="Arial" w:cs="Arial" w:eastAsia="Arial" w:hAnsi="Arial"/>
          <w:sz w:val="22"/>
          <w:szCs w:val="22"/>
        </w:rPr>
        <w:t xml:space="preserve">The solution at hand here is the relinquishing by the Church both of its role as registrar of marriages and of its assumed duty to marry any eligible resident of its parishes. These are not part of what has been called the “higher architecture” of establishment but they would have the great value of liberating the Church to determine its own internal theology and practice of marriage irrespective of what the state did (or, as cynical outsiders might say, at least to stew in its own juice).</w:t>
      </w:r>
    </w:p>
    <w:p>
      <w:pPr>
        <w:spacing w:after="160"/>
      </w:pPr>
      <w:r>
        <w:rPr>
          <w:rFonts w:ascii="Arial" w:cs="Arial" w:eastAsia="Arial" w:hAnsi="Arial"/>
          <w:sz w:val="22"/>
          <w:szCs w:val="22"/>
        </w:rPr>
        <w:t xml:space="preserve">The third issue causing current vexation is the place of bishops in a reformed House of Lords. The issue here is not so much a constraint on the Church’s freedom of action but rather the legitimacy of privileged access to the legislature widely seen as inequitable. Here the Church should voluntarily relinquish any special status and work for a chamber in which its own representatives (who need not be bishops) could be appointed alongside those of many other religious, professional, labour, cultural and business groups on broadly proportionate terms.</w:t>
      </w:r>
    </w:p>
    <w:p>
      <w:pPr>
        <w:spacing w:after="160"/>
      </w:pPr>
      <w:r>
        <w:rPr>
          <w:rFonts w:ascii="Arial" w:cs="Arial" w:eastAsia="Arial" w:hAnsi="Arial"/>
          <w:sz w:val="22"/>
          <w:szCs w:val="22"/>
        </w:rPr>
        <w:t xml:space="preserve">One of the two issues that could soon suddenly catch us by surprise is the appointment of Rowan Williams’ successor. It’s true that in 2007 Gordon Brown surrendered the Prime Minister’s active role in the process. But if it were to emerge that David Cameron had been working back channels to ensure an Archbishop who was “safe” on, for example, same-sex marriage, or indeed on banking reform, the subsequent furore would lend weight to a full and formal cessation of even a ceremonial role for the Crown in senior Church appointments.</w:t>
      </w:r>
    </w:p>
    <w:p>
      <w:pPr>
        <w:spacing w:after="160"/>
      </w:pPr>
      <w:r>
        <w:rPr>
          <w:rFonts w:ascii="Arial" w:cs="Arial" w:eastAsia="Arial" w:hAnsi="Arial"/>
          <w:sz w:val="22"/>
          <w:szCs w:val="22"/>
        </w:rPr>
        <w:t xml:space="preserve">The other looming issue that could up-end both Church and state is the content of the next Coronation service, an event we can reasonably surmise may occur within the next few years. A key issue is whether King Charles will pledge to defend the Church of England alone – which will seem hopelessly anachronistic – or, instead, act as “defender of faith” in general – which would be difficult to square honestly with his role as Supreme Governor of the Church of England. Here an obvious, albeit radical, solution beckons: replace the religious Coronation “service” in Westminster Abbey with a civic Coronation “ceremony” in, for example, Westminster Hall, and remove from the oath any specific monarchical allegiances to the Church of England (thereby also implying an end both to the role of Supreme Governor and to “Protestant Succession”).</w:t>
      </w:r>
    </w:p>
    <w:p>
      <w:pPr>
        <w:spacing w:after="160"/>
      </w:pPr>
      <w:r>
        <w:rPr>
          <w:rFonts w:ascii="Arial" w:cs="Arial" w:eastAsia="Arial" w:hAnsi="Arial"/>
          <w:sz w:val="22"/>
          <w:szCs w:val="22"/>
        </w:rPr>
        <w:t xml:space="preserve">The Church could still make Westminster Abbey available for an ecumenical “service of consecration” for a monarch who voluntarily sought one (though he or she might have other offers). Those in the Church who would grieve over the apparent loss of public prestige this change would imply might reflect on the fact that such a voluntary, yet eminently public, event would be a much more authentic testimony to the personal faith of the monarch than obligatory official participation. And they might also ponder the prospect that the Church would be free to design a service in which, among other things, the monarch, and thereby his or her government, could be reminded that God does not take kindly to abuses of authority and, in the words of the Magnificat recited weekly in Anglican churches throughout the land, that he is in the business of “bringing down the mighty from their thrones and raising up those of low estate”. A Church with the bottle to do that would elicit the respect of outsiders – and many insiders – more than one content to serve merely as a pliant master of ceremonies to the state.</w:t>
      </w:r>
    </w:p>
    <w:p>
      <w:pPr>
        <w:spacing w:after="160"/>
      </w:pPr>
      <w:r>
        <w:rPr>
          <w:rFonts w:ascii="Arial" w:cs="Arial" w:eastAsia="Arial" w:hAnsi="Arial"/>
          <w:sz w:val="22"/>
          <w:szCs w:val="22"/>
        </w:rPr>
        <w:t xml:space="preserve">Jonathan Chaplin is Director of the Kirby Laing Centre for Christian Ethics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Why the Anglican establishment is good for a liberal society Part 2</w:t>
      </w:r>
    </w:p>
    <w:p>
      <w:pPr>
        <w:spacing w:after="160"/>
      </w:pPr>
      <w:r>
        <w:rPr>
          <w:rFonts w:ascii="Arial" w:cs="Arial" w:eastAsia="Arial" w:hAnsi="Arial"/>
          <w:sz w:val="22"/>
          <w:szCs w:val="22"/>
        </w:rPr>
        <w:t xml:space="preserve">By NIGEL BIGGAR</w:t>
      </w:r>
    </w:p>
    <w:p>
      <w:pPr>
        <w:spacing w:after="160"/>
      </w:pPr>
      <w:r>
        <w:rPr>
          <w:rFonts w:ascii="Arial" w:cs="Arial" w:eastAsia="Arial" w:hAnsi="Arial"/>
          <w:sz w:val="22"/>
          <w:szCs w:val="22"/>
        </w:rPr>
        <w:t xml:space="preserve">THEOS</w:t>
      </w:r>
    </w:p>
    <w:p>
      <w:pPr>
        <w:spacing w:after="160"/>
      </w:pPr>
      <w:r>
        <w:rPr>
          <w:rFonts w:ascii="Arial" w:cs="Arial" w:eastAsia="Arial" w:hAnsi="Arial"/>
          <w:sz w:val="22"/>
          <w:szCs w:val="22"/>
        </w:rPr>
        <w:t xml:space="preserve">http://www.theosthinktank.co.uk/</w:t>
      </w:r>
    </w:p>
    <w:p>
      <w:pPr>
        <w:spacing w:after="160"/>
      </w:pPr>
      <w:r>
        <w:rPr>
          <w:rFonts w:ascii="Arial" w:cs="Arial" w:eastAsia="Arial" w:hAnsi="Arial"/>
          <w:sz w:val="22"/>
          <w:szCs w:val="22"/>
        </w:rPr>
        <w:t xml:space="preserve">The establishment of the Church of England commands little respect and less enthusiasm. It is widely regarded as an antiquarian relic, whose continuance is morally and politically indefensible. We now live in a liberal, plural society where – it is supposed – public institutions and rituals should be neutral with regard to rival worldviews. Such a society should therefore be secular, ceding no public privilege to any religion. The only reason for letting religious privilege persist in England is practical, not moral: its abolition would cost too much parliamentary time. So the Anglican establishment shuffles on, unloved by those outside the church and an embarrassment to those within it, suffering slow and unlamented decay by piecemeal dismemberment.</w:t>
      </w:r>
    </w:p>
    <w:p>
      <w:pPr>
        <w:spacing w:after="160"/>
      </w:pPr>
      <w:r>
        <w:rPr>
          <w:rFonts w:ascii="Arial" w:cs="Arial" w:eastAsia="Arial" w:hAnsi="Arial"/>
          <w:sz w:val="22"/>
          <w:szCs w:val="22"/>
        </w:rPr>
        <w:t xml:space="preserve">I think that the Church of England’s establishment deserves far more love than it gets. My defence takes its cue from the pre-eminent postwar theorist of liberal politics, John Rawls. Rawls was motivated by awareness that liberal values are not universally held, and that a liberal ethos is therefore contested and vulnerable. There will always be hostile views that would suppress it, and there is no guarantee that these will not prevail (as they did in the Weimar Republic). The virtues of tolerance, of being ready to meet others halfway, of reasonableness, and of fairness comprise political capital that can depreciate and constantly needs to be renewed.</w:t>
      </w:r>
    </w:p>
    <w:p>
      <w:pPr>
        <w:spacing w:after="160"/>
      </w:pPr>
      <w:r>
        <w:rPr>
          <w:rFonts w:ascii="Arial" w:cs="Arial" w:eastAsia="Arial" w:hAnsi="Arial"/>
          <w:sz w:val="22"/>
          <w:szCs w:val="22"/>
        </w:rPr>
        <w:t xml:space="preserve">So a liberal point of view is not neutral. Liberal space is not indefinite, but bounded by certain moral convictions, which are expressive of an exalted, humanist understanding of human beings. Some worldviews, however, are corrosive of humanism—not only Nazism, but also Hobbesianism and Social Darwinism. So if a liberal ethos is to survive, supportive, humanist views have to be actively fostered by public institutions.</w:t>
      </w:r>
    </w:p>
    <w:p>
      <w:pPr>
        <w:spacing w:after="160"/>
      </w:pPr>
      <w:r>
        <w:rPr>
          <w:rFonts w:ascii="Arial" w:cs="Arial" w:eastAsia="Arial" w:hAnsi="Arial"/>
          <w:sz w:val="22"/>
          <w:szCs w:val="22"/>
        </w:rPr>
        <w:t xml:space="preserve">However, there are a variety of humanisms, and a single set of public institutions and rituals cannot simultaneously affirm them all. So one must be chosen; but which? One candidate is an atheistic Enlightenment version, which France confesses. Another is an ecumenical monotheism, which the U.S. Constitution permits and American governments have in fact chosen. Another is Trinitarian Christianity, which is written into the Irish Constitution. And still another is Anglican Christianity, which England has established.</w:t>
      </w:r>
    </w:p>
    <w:p>
      <w:pPr>
        <w:spacing w:after="160"/>
      </w:pPr>
      <w:r>
        <w:rPr>
          <w:rFonts w:ascii="Arial" w:cs="Arial" w:eastAsia="Arial" w:hAnsi="Arial"/>
          <w:sz w:val="22"/>
          <w:szCs w:val="22"/>
        </w:rPr>
        <w:t xml:space="preserve">As an expression of orthodox Christianity, Anglicanism is basically humanist in its affirmation of the special dignity of human being made in the image of God—a dignity intensified by God’s assumption of humanity in the Incarnation. According to this high vision, human beings are not merely the random result of the blind operation of physical forces, nor their activity simply determined by genes or chemistry, nor their asserted significance just so much desperate whistling in the enveloping cosmic dark. No, in Christian eyes humans are the creatures of a benevolent divine intelligence, which has striven through natural evolution to bring about human individuals who flourish in freely understanding and investing themselves in the world’s good.</w:t>
      </w:r>
    </w:p>
    <w:p>
      <w:pPr>
        <w:spacing w:after="160"/>
      </w:pPr>
      <w:r>
        <w:rPr>
          <w:rFonts w:ascii="Arial" w:cs="Arial" w:eastAsia="Arial" w:hAnsi="Arial"/>
          <w:sz w:val="22"/>
          <w:szCs w:val="22"/>
        </w:rPr>
        <w:t xml:space="preserve">One retort to this would be that, while Anglicanism may be the sitting candidate, there is a better one standing. But is there? There are, of course, other, non-religious humanisms. But how far these are intellectually viable apart from a theological basis is doubtful, even in the eyes of some atheist philosophers. Raymond Gaita, for example, thinks that secular philosophical talk about inalienable human dignity and rights is just so much “whistling in the dark”, such notions having no secure home outside of religion.</w:t>
      </w:r>
    </w:p>
    <w:p>
      <w:pPr>
        <w:spacing w:after="160"/>
      </w:pPr>
      <w:r>
        <w:rPr>
          <w:rFonts w:ascii="Arial" w:cs="Arial" w:eastAsia="Arial" w:hAnsi="Arial"/>
          <w:sz w:val="22"/>
          <w:szCs w:val="22"/>
        </w:rPr>
        <w:t xml:space="preserve">Another question that my argument raises is this: Can the public privileging of a particular religion be compatible with the liberal right to religious freedom? Yes, it can. In the course of the 18th and 19th centuries, the penalties for religious non-conformity in England were gradually lifted, and non-Anglicans were permitted entry to universities, the armed services, and public office. The result now is that there is no public office in England that determines either law or public policy, which may not be filled with non-Anglicans, or non-Christians, or unbelievers.</w:t>
      </w:r>
    </w:p>
    <w:p>
      <w:pPr>
        <w:spacing w:after="160"/>
      </w:pPr>
      <w:r>
        <w:rPr>
          <w:rFonts w:ascii="Arial" w:cs="Arial" w:eastAsia="Arial" w:hAnsi="Arial"/>
          <w:sz w:val="22"/>
          <w:szCs w:val="22"/>
        </w:rPr>
        <w:t xml:space="preserve">The claim that the establishment of the Church of England is compatible with the exercise of religious freedom is also corroborated by international legal conventions and the case law of the European Convention on Human Rights. US First Amendment case law, which holds that the free exercise of religion can never be complete until Church and State are separated, is the global exception, not the rule.</w:t>
      </w:r>
    </w:p>
    <w:p>
      <w:pPr>
        <w:spacing w:after="160"/>
      </w:pPr>
      <w:r>
        <w:rPr>
          <w:rFonts w:ascii="Arial" w:cs="Arial" w:eastAsia="Arial" w:hAnsi="Arial"/>
          <w:sz w:val="22"/>
          <w:szCs w:val="22"/>
        </w:rPr>
        <w:t xml:space="preserve">Most US commentators, however, regard the establishment of a particular religion as entailing a necessary offense against the equal dignity of non-conformists. It implies a “symbolic ostracism”. This I doubt. I can understand why public Christian theological affirmation might disturb non-Christian or non-theistic citizens. It might confront them with views that they do not agree with. It might require them to tolerate an alien element in public institutions and rituals. However, encounter with difference is a normal feature of social life, and tolerance is a classic liberal virtue. So why would it – as such and absent any restriction of civil or political liberties – offend their dignity as equal citizens?</w:t>
      </w:r>
    </w:p>
    <w:p>
      <w:pPr>
        <w:spacing w:after="160"/>
      </w:pPr>
      <w:r>
        <w:rPr>
          <w:rFonts w:ascii="Arial" w:cs="Arial" w:eastAsia="Arial" w:hAnsi="Arial"/>
          <w:sz w:val="22"/>
          <w:szCs w:val="22"/>
        </w:rPr>
        <w:t xml:space="preserve">There can be no such thing as a public order that is morally, anthropologically, and metaphysically neutral. It must commit itself one way or another. Therefore it is inevitable that some members of any plural society will find themselves in a public order that affirms a worldview that is somewhat different to their own; and will feel irritated by it. Secularist public institutions that refuse to make any theological affirmation need not be intentionally atheist; yet they are still not neutral. They cannot avoid implying that theological affirmation is unimportant for social health. Many theistic citizens – not least Muslims – will disagree strongly with this implication, and feel somewhat disturbed by the studiously agnostic silence of public space. This alone, however, does not give them sufficient reason to feel that their dignity as equal citizens is being affronted. Not all contradiction amounts to objective offence.</w:t>
      </w:r>
    </w:p>
    <w:p>
      <w:pPr>
        <w:spacing w:after="160"/>
      </w:pPr>
      <w:r>
        <w:rPr>
          <w:rFonts w:ascii="Arial" w:cs="Arial" w:eastAsia="Arial" w:hAnsi="Arial"/>
          <w:sz w:val="22"/>
          <w:szCs w:val="22"/>
        </w:rPr>
        <w:t xml:space="preserve">In sum, my argument is this. The establishment of the Church of England represents a deeply humanist worldview that is supportive of a liberal ethos, and there is no obvious alternative. The Anglican form of establishment has not involved civil and political penalties for non-Anglicans for well over a century, and Anglican public orthodoxy can contradict the views of some citizens without offending against their equal dignity. Therefore the secularist claim that dignity, liberty, equality, and fairness in a plural society require disestablishment does not wash.</w:t>
      </w:r>
    </w:p>
    <w:p>
      <w:pPr>
        <w:spacing w:after="160"/>
      </w:pPr>
      <w:r>
        <w:rPr>
          <w:rFonts w:ascii="Arial" w:cs="Arial" w:eastAsia="Arial" w:hAnsi="Arial"/>
          <w:sz w:val="22"/>
          <w:szCs w:val="22"/>
        </w:rPr>
        <w:t xml:space="preserve">Nigel Biggar is Regius Professor of Moral and Pastoral Theology, and Director of the McDonald Centre for Theology, Ethics, and Public Life, at the University of Oxford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TIME FOR THE CHURCH OF ENGLAND TO CUT THE KNOT: PARTS 1 AND 2</dc:title>
  <dc:creator>VirtueOnline Archive</dc:creator>
  <cp:lastModifiedBy>Un-named</cp:lastModifiedBy>
  <cp:revision>1</cp:revision>
  <dcterms:created xsi:type="dcterms:W3CDTF">2026-04-22T11:55:54.556Z</dcterms:created>
  <dcterms:modified xsi:type="dcterms:W3CDTF">2026-04-22T11:55:54.556Z</dcterms:modified>
</cp:coreProperties>
</file>

<file path=docProps/custom.xml><?xml version="1.0" encoding="utf-8"?>
<Properties xmlns="http://schemas.openxmlformats.org/officeDocument/2006/custom-properties" xmlns:vt="http://schemas.openxmlformats.org/officeDocument/2006/docPropsVTypes"/>
</file>