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VICTORY OF CHRIST AND THE MYSTERY OF THE CROSS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G. G. Dunbar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15, 2013</w:t>
      </w:r>
    </w:p>
    <w:p>
      <w:pPr>
        <w:spacing w:after="160"/>
      </w:pPr>
      <w:r>
        <w:rPr>
          <w:rFonts w:ascii="Arial" w:cs="Arial" w:eastAsia="Arial" w:hAnsi="Arial"/>
          <w:sz w:val="22"/>
          <w:szCs w:val="22"/>
        </w:rPr>
        <w:t xml:space="preserve">For much of the history of the western Church, both Catholic and Protestant, Christians have understood the redemption accomplished in the suffering and death of Jesus upon the cross in terms of sacrifice and satisfaction for sin. It is a doctrine with deep roots in Scripture and the Church Fathers, especially Athanasius and Augustine, but it is associated primarily with an Italian monk who became archbishop of Canterbury in the 11th century, Saint Anselm (d.1109). According to Anselm's teaching, Christ the God-man accomplished in his own death what was required of man but only possible for God -- a full atonement for the infinite offense against divine majesty made by man's sin. In perfect obedience to the Father, Christ bears the penalty of our sins, God's just judgment and condemnation, and so satisfies God's honor for the offense of sin, appeases God's wrath, expiates man's guilt, and secures the remission of our sins and our reconciliation to the Father. This Catholic doctrine was embraced vigorously by the Protestant reformers of the 16th century, and their heirs in the Evangelical revival of the 18th century.</w:t>
      </w:r>
    </w:p>
    <w:p>
      <w:pPr>
        <w:spacing w:after="160"/>
      </w:pPr>
      <w:r>
        <w:rPr>
          <w:rFonts w:ascii="Arial" w:cs="Arial" w:eastAsia="Arial" w:hAnsi="Arial"/>
          <w:sz w:val="22"/>
          <w:szCs w:val="22"/>
        </w:rPr>
        <w:t xml:space="preserve">It also features prominently in the Prayer Book and Articles of Religion. The Comfortable Words conclude with 1 John 2:2, "he is the Propitiation for our sins", that is, the appeasement of God's wrath against sin. In the Prayer of Consecration is commemorated the "tender mercy" of the Father, who "didst give thine only Son Jesus Christ to suffer death upon the cross for our redemption; who made there (by his one oblation of himself once offered) a full, perfect, and sufficient sacrifice, oblation, and satisfaction, for the sins of the whole world." Article XV says that Christ "came to be the Lamb without spot, who, by sacrifice of himself once made, should take away the sins of the world"; and Article XXI affirms that "the offering of Christ once made is that perfect redemption, propitiation, and satisfaction, for the sins of the whole world, both original and actual; and there is none other satisfaction for sin, but that alone". In contrast, the accounts of the atonement in many modern eucharistic prayers are often vague and timid. A telling example is the reworking of the historic Prayer of Consecration in Eucharistic Prayer B in Rite I of the 1979 Prayer Book: "he made there [on the cross] a full and perfect sacrifice for the whole world." The omission of the phrase "for the sins of" does indeed broaden the idea, but at the cost of clarity.</w:t>
      </w:r>
    </w:p>
    <w:p>
      <w:pPr>
        <w:spacing w:after="160"/>
      </w:pPr>
      <w:r>
        <w:rPr>
          <w:rFonts w:ascii="Arial" w:cs="Arial" w:eastAsia="Arial" w:hAnsi="Arial"/>
          <w:sz w:val="22"/>
          <w:szCs w:val="22"/>
        </w:rPr>
        <w:t xml:space="preserve">In the late modern period, however, theological liberals turned sharply against the doctrine, often described as "legalistic" or "forensic", not to mention primitive, violent, vengeful, and sadistic. (In recent years this assault has been revived with a special twist - that it is a kind of "divine child abuse" deeply implicated in social and psychological structures of oppression.) In The Kingdom of God in America (1937), Reinhold Niebuhr pilloried this theological liberalism: "a God without wrath brought men without sin into a kingdom without judgment through the ministrations of a Christ without a cross."</w:t>
      </w:r>
    </w:p>
    <w:p>
      <w:pPr>
        <w:spacing w:after="160"/>
      </w:pPr>
      <w:r>
        <w:rPr>
          <w:rFonts w:ascii="Arial" w:cs="Arial" w:eastAsia="Arial" w:hAnsi="Arial"/>
          <w:sz w:val="22"/>
          <w:szCs w:val="22"/>
        </w:rPr>
        <w:t xml:space="preserve">Generally, liberals have turned to what they called a "more human" or "more spiritual" idea of the atonement, which focusses on the teaching and moral example of Jesus, and an ethos of love and compassion towards those who suffer. This "exemplarist" doctrine was associated with the teaching of Abelard (d. 1142), the early medieval French scholastic theologian, celebrated for his affair with Eloise, and his castration by her enraged guardian.</w:t>
      </w:r>
    </w:p>
    <w:p>
      <w:pPr>
        <w:spacing w:after="160"/>
      </w:pPr>
      <w:r>
        <w:rPr>
          <w:rFonts w:ascii="Arial" w:cs="Arial" w:eastAsia="Arial" w:hAnsi="Arial"/>
          <w:sz w:val="22"/>
          <w:szCs w:val="22"/>
        </w:rPr>
        <w:t xml:space="preserve">It was this opposition of the objective understanding of the atonement ("legal" or "forensic" in nature) taught by Catholics and Protestant orthodoxy and the subjective understanding ("exemplarist" in nature) by theological liberals which was addressed by the Swedish theologian and bishop Gustaf Aulen, in a book based on a series of lectures given in Uppsala in 1930, published under the title Christus Victor, and translated into English by A. G. Hebert in 1931. Though now dated, Aulen's book had an influence beyond its size or indeed merit, and its influence continues today.</w:t>
      </w:r>
    </w:p>
    <w:p>
      <w:pPr>
        <w:spacing w:after="160"/>
      </w:pPr>
      <w:r>
        <w:rPr>
          <w:rFonts w:ascii="Arial" w:cs="Arial" w:eastAsia="Arial" w:hAnsi="Arial"/>
          <w:sz w:val="22"/>
          <w:szCs w:val="22"/>
        </w:rPr>
        <w:t xml:space="preserve">Aulen found both the established views defective. In his view both the objective, legalistic idea, and the subjective, exemplarist idea, belonged to the decline of theology from its primeval, evangelical and catholic purity. The teaching of Scripture and the early Church he named the "classic" or "dramatic" view, which he thought had been abandoned and forgotten in the Middle Ages, Reformation, and post-Reformation (with Martin Luther the honorable exception). According to this "classic" idea of atonement, man's redemption was accomplished on the cross and resurrection by Christ's victory over the powers of evil. It is entirely the work of God, and the divine agape, or love; and not at all the work of man, even in the context of the Incarnation.</w:t>
      </w:r>
    </w:p>
    <w:p>
      <w:pPr>
        <w:spacing w:after="160"/>
      </w:pPr>
      <w:r>
        <w:rPr>
          <w:rFonts w:ascii="Arial" w:cs="Arial" w:eastAsia="Arial" w:hAnsi="Arial"/>
          <w:sz w:val="22"/>
          <w:szCs w:val="22"/>
        </w:rPr>
        <w:t xml:space="preserve">The theme of Christ's conflict with the powers of evil and his victory over them is indeed part of the scriptural and traditional witness to the atonement. It appears, for instance, in such passages as Colossians 2:15: "having spoiled the principalities and powers, he made a show them openly, triumphing over them" upon the cross. It also central to such traditional texts as the ancient Easter sequence, Victimae Paschali (#97 in the 1940 Hymnal): "Death and life have contended / In that combat stupendous: /The prince of life, who died, reigns immortal."</w:t>
      </w:r>
    </w:p>
    <w:p>
      <w:pPr>
        <w:spacing w:after="160"/>
      </w:pPr>
      <w:r>
        <w:rPr>
          <w:rFonts w:ascii="Arial" w:cs="Arial" w:eastAsia="Arial" w:hAnsi="Arial"/>
          <w:sz w:val="22"/>
          <w:szCs w:val="22"/>
        </w:rPr>
        <w:t xml:space="preserve">It may doubted, however, whether the Scriptural and traditional witness falls as heavily on the side of the "classic" theory as Aulen proposed. Simply at the level of quantity, scriptural texts referring to Christ's death in "legalistic" terms of obedience, ransom, and sacrifice are far more numerous than texts of conflict and victory. Theologically, Aulen's position is of doubtful orthodoxy. Aulen's position divides the natures which are united in Christ, and denies his humanity any essential role in the Atonement; and that, as Robert Crouse notes, "implies a distortion of Christological doctrine in a docetist or a monophysite direction" . Methodologically, one may doubt that the scriptural and traditional witness to the atonement is to be divided up into neatly compartmentalized "ideas" or "theories". The modern cliché that there is "no such thing as a doctrine of atonement", but only "a typology of different kinds of atonement theology" deserves to be treated with skepticism . As Robert Crouse observes, the Church Fathers combine the motifs that Aulen divides, and they are right to do so: What modern scholarship, as with Aulen, has tended to divide as alternative views or theories of the Atonement, is all there in the Fathers, from the beginning, as in the Scriptures; but in the Fathers, as also in the Scriptures, what are now seen as opposing views are present as necessary facets, or dimensions, of one doctrine of salvation, focussing in the one oblation of Christ upon the cross of Calvary. (....) The patristic doctrine of Redemption is not 'classic', or propitiatory, or exemplary; it is all of those at once, as is the doctrine of the scriptures; to exclude on dimension or another is to diminish its truth and its power. It is not "objective" or "subjective"; it is both at once. It is not the work of Christ as Son of God or of Christ as Son of Man; it is the work of Christ who is both God and man in distinction of natures and unity of persons. ...if we reduce the doctrine of Atonement to what Aulen calls the 'classic' view, our worship will be as celebratory witnesses at the drama of Christ's triumph; if we hold what he calls the 'Latin doctrine', we will be the penitential witnesses of Christ's death and passion; if we hold an 'exemplarist' doctrine, we will come for edification and moral uplift. But Christ's work is all of these at once: he is Christus Victor, triumphing over death and every ill, because he is Divine and human priest and victim, offering the one oblation of himself in sacrifice for sin; and therein he is manifest as the exemplar, the truth, and inspiration of all human good. He is all of those at once, and so must our worship be. It must be at once objective and subjective: something done for us, and something done in us. It must be a meeting of divine and human, a meeting of divine and human love, and the meeting of law and grace, in caritas, in that charity which covers all our sins, and endures to life eternal. For the Fathers, these are not opposed, but complementary motifs .</w:t>
      </w:r>
    </w:p>
    <w:p>
      <w:pPr>
        <w:spacing w:after="160"/>
      </w:pPr>
      <w:r>
        <w:rPr>
          <w:rFonts w:ascii="Arial" w:cs="Arial" w:eastAsia="Arial" w:hAnsi="Arial"/>
          <w:sz w:val="22"/>
          <w:szCs w:val="22"/>
        </w:rPr>
        <w:t xml:space="preserve">One may bring out the importance of the sacrificial motif in another way. When the Atonement is considered simply in the 'classic' view, man's salvation is a transaction between God and the Devil, in which man is merely a pawn to be held captive or set free. When it is considered simply in the 'exemplarist' view, man's salvation is a transaction between man and man, in which God is hardly involved at all. The importance of sacrifice is precisely that it is a transaction of man with God, and one might say further, of God with God through the medium of Christ's humanity - and as such, sacrifice is the condition of man's communion and fellowship with God. As Augustine observes, a sacrifice is the act which unites man in holy fellowship with God . Sacrifice alone does not account fully for the saving work of Christ in his death and resurrection; but apart from this idea, one cannot account for man's fellowship with God.</w:t>
      </w:r>
    </w:p>
    <w:p>
      <w:pPr>
        <w:spacing w:after="160"/>
      </w:pPr>
      <w:r>
        <w:rPr>
          <w:rFonts w:ascii="Arial" w:cs="Arial" w:eastAsia="Arial" w:hAnsi="Arial"/>
          <w:sz w:val="22"/>
          <w:szCs w:val="22"/>
        </w:rPr>
        <w:t xml:space="preserve">The prominence, therefore, of sacrifice and satisfaction in the Prayer Book and Articles, is a function of the importance of communion and fellowship with God in holiness - which neither the 'classic' or 'exemplarist' motif adequately explains. Yet these motifs are not absent: the Easter preface celebrates the resurrection as the unveiling of the victory of the cross and the revelation of the power of his sacrifice:</w:t>
      </w:r>
    </w:p>
    <w:p>
      <w:pPr>
        <w:spacing w:after="160"/>
      </w:pPr>
      <w:r>
        <w:rPr>
          <w:rFonts w:ascii="Arial" w:cs="Arial" w:eastAsia="Arial" w:hAnsi="Arial"/>
          <w:sz w:val="22"/>
          <w:szCs w:val="22"/>
        </w:rPr>
        <w:t xml:space="preserve">for he is the very Paschal Lamb, which was offered for us, and hath taken away the sin of the world; who by his death hath destroyed death, and by his rising to life again hath restored to us everlasting life....</w:t>
      </w:r>
    </w:p>
    <w:p>
      <w:pPr>
        <w:spacing w:after="160"/>
      </w:pPr>
      <w:r>
        <w:rPr>
          <w:rFonts w:ascii="Arial" w:cs="Arial" w:eastAsia="Arial" w:hAnsi="Arial"/>
          <w:sz w:val="22"/>
          <w:szCs w:val="22"/>
        </w:rPr>
        <w:t xml:space="preserve">The "Prayer of Oblation" (in the 1928 Prayer Book the final paragraph of the Prayer of Consecration", also involves the Church's implicit imitation of Christ's example, by its grateful self-offering, as a "reasonable, holy, and living sacrifice".</w:t>
      </w:r>
    </w:p>
    <w:p>
      <w:pPr>
        <w:spacing w:after="160"/>
      </w:pPr>
      <w:r>
        <w:rPr>
          <w:rFonts w:ascii="Arial" w:cs="Arial" w:eastAsia="Arial" w:hAnsi="Arial"/>
          <w:sz w:val="22"/>
          <w:szCs w:val="22"/>
        </w:rPr>
        <w:t xml:space="preserve">The references could be multiplied. The Collect for Palm Sunday touches on the cross as revelation of divine love and an example of virtue:</w:t>
      </w:r>
    </w:p>
    <w:p>
      <w:pPr>
        <w:spacing w:after="160"/>
      </w:pPr>
      <w:r>
        <w:rPr>
          <w:rFonts w:ascii="Arial" w:cs="Arial" w:eastAsia="Arial" w:hAnsi="Arial"/>
          <w:sz w:val="22"/>
          <w:szCs w:val="22"/>
        </w:rPr>
        <w:t xml:space="preserve">Almighty and everlasting God, who, of thy tender love towards mankind, hast sent thy Son, our Saviour Jesus Christ, to take upon him our flesh, and to suffer death upon the cross, that all mankind should follow the example of his great humility; Mercifully grant, that we may both follow the example of his patience, and also be made partakers of his resurrection....</w:t>
      </w:r>
    </w:p>
    <w:p>
      <w:pPr>
        <w:spacing w:after="160"/>
      </w:pPr>
      <w:r>
        <w:rPr>
          <w:rFonts w:ascii="Arial" w:cs="Arial" w:eastAsia="Arial" w:hAnsi="Arial"/>
          <w:sz w:val="22"/>
          <w:szCs w:val="22"/>
        </w:rPr>
        <w:t xml:space="preserve">The Collect for Easter refers to the victory of Christ:</w:t>
      </w:r>
    </w:p>
    <w:p>
      <w:pPr>
        <w:spacing w:after="160"/>
      </w:pPr>
      <w:r>
        <w:rPr>
          <w:rFonts w:ascii="Arial" w:cs="Arial" w:eastAsia="Arial" w:hAnsi="Arial"/>
          <w:sz w:val="22"/>
          <w:szCs w:val="22"/>
        </w:rPr>
        <w:t xml:space="preserve">Almighty God, who through thine only begotten Son Jesus Christ hast overcome death, and opened unto us the gate of everlasting life...</w:t>
      </w:r>
    </w:p>
    <w:p>
      <w:pPr>
        <w:spacing w:after="160"/>
      </w:pPr>
      <w:r>
        <w:rPr>
          <w:rFonts w:ascii="Arial" w:cs="Arial" w:eastAsia="Arial" w:hAnsi="Arial"/>
          <w:sz w:val="22"/>
          <w:szCs w:val="22"/>
        </w:rPr>
        <w:t xml:space="preserve">Cranmer's collect for the Second Sunday after Easter unites the themes of sacrifice and example:</w:t>
      </w:r>
    </w:p>
    <w:p>
      <w:pPr>
        <w:spacing w:after="160"/>
      </w:pPr>
      <w:r>
        <w:rPr>
          <w:rFonts w:ascii="Arial" w:cs="Arial" w:eastAsia="Arial" w:hAnsi="Arial"/>
          <w:sz w:val="22"/>
          <w:szCs w:val="22"/>
        </w:rPr>
        <w:t xml:space="preserve">Almighty God, who hast given thine only Son to be unto us both a sacrifice for sin, and also an example of godly life; Give us grace that we may always most thankfully receive that his inestimable benefit, and also daily endeavour ourselves to follow the blessed steps of his most holy life...</w:t>
      </w:r>
    </w:p>
    <w:p>
      <w:pPr>
        <w:spacing w:after="160"/>
      </w:pPr>
      <w:r>
        <w:rPr>
          <w:rFonts w:ascii="Arial" w:cs="Arial" w:eastAsia="Arial" w:hAnsi="Arial"/>
          <w:sz w:val="22"/>
          <w:szCs w:val="22"/>
        </w:rPr>
        <w:t xml:space="preserve">One must also note that the canticles Te Deum, Benedictus, and Magnificat, appointed to be said the office of Morning and Evening Prayer throughout the year, make the saving victory of Christ a matter of daily celebration.</w:t>
      </w:r>
    </w:p>
    <w:p>
      <w:pPr>
        <w:spacing w:after="160"/>
      </w:pPr>
      <w:r>
        <w:rPr>
          <w:rFonts w:ascii="Arial" w:cs="Arial" w:eastAsia="Arial" w:hAnsi="Arial"/>
          <w:sz w:val="22"/>
          <w:szCs w:val="22"/>
        </w:rPr>
        <w:t xml:space="preserve">In different ways the 'exemplarist' and 'classic' ideas (and their variations) affirm (rightly) that the death of Christ changes everything: only the sacrificial idea examples how. Only as Christ is affirmed as priest and victim offering himself in the one perfect sacrifice for sin, therefore, can we make any sense of his proclamation as divine victor over evil and human exemplar of good. In comparison to the vagueness and timidity of current euchology of the cross, the bold clarity of the Prayer Book tradition about the centrality of Christ's death as perfect sacrifice and satisfaction for sin is one of its most precious virtues.</w:t>
      </w:r>
    </w:p>
    <w:p>
      <w:pPr>
        <w:spacing w:after="160"/>
      </w:pPr>
      <w:r>
        <w:rPr>
          <w:rFonts w:ascii="Arial" w:cs="Arial" w:eastAsia="Arial" w:hAnsi="Arial"/>
          <w:sz w:val="22"/>
          <w:szCs w:val="22"/>
        </w:rPr>
        <w:t xml:space="preserve">The Rev. G. G. Dunbar is Rector, St. John's Church, Savannah, Georgia. This article was first published in The Anglican Way and is republished here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VICTORY OF CHRIST AND THE MYSTERY OF THE CROSS</dc:title>
  <dc:creator>VirtueOnline Archive</dc:creator>
  <cp:lastModifiedBy>Un-named</cp:lastModifiedBy>
  <cp:revision>1</cp:revision>
  <dcterms:created xsi:type="dcterms:W3CDTF">2026-04-22T11:55:47.476Z</dcterms:created>
  <dcterms:modified xsi:type="dcterms:W3CDTF">2026-04-22T11:55:47.476Z</dcterms:modified>
</cp:coreProperties>
</file>

<file path=docProps/custom.xml><?xml version="1.0" encoding="utf-8"?>
<Properties xmlns="http://schemas.openxmlformats.org/officeDocument/2006/custom-properties" xmlns:vt="http://schemas.openxmlformats.org/officeDocument/2006/docPropsVTypes"/>
</file>