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REV. DR. KEVIN DONLON (AMIA) RESPONDS TO THE WASHINGTON STATEMENT</w:t>
      </w:r>
    </w:p>
    <w:p>
      <w:pPr>
        <w:pBdr>
          <w:bottom w:val="single" w:color="AAAAAA" w:sz="6"/>
        </w:pBdr>
        <w:spacing w:after="200" w:before="0"/>
      </w:pPr>
    </w:p>
    <w:p>
      <w:pPr>
        <w:spacing w:after="160"/>
      </w:pPr>
      <w:r>
        <w:rPr>
          <w:rFonts w:ascii="Arial" w:cs="Arial" w:eastAsia="Arial" w:hAnsi="Arial"/>
          <w:sz w:val="22"/>
          <w:szCs w:val="22"/>
        </w:rPr>
        <w:t xml:space="preserve">FACTUAL THEOLOGICAL AND CANONICAL CRITIQUE OF: Is the AMiA's New Missionary Society" Structure the Best Way Forward?.</w:t>
      </w:r>
    </w:p>
    <w:p>
      <w:pPr>
        <w:spacing w:after="160"/>
      </w:pPr>
      <w:r>
        <w:rPr>
          <w:rFonts w:ascii="Arial" w:cs="Arial" w:eastAsia="Arial" w:hAnsi="Arial"/>
          <w:sz w:val="22"/>
          <w:szCs w:val="22"/>
        </w:rPr>
        <w:t xml:space="preserve">By Dan Claire, Chuck Colson, and Tommy Hinson, Washington, DC</w:t>
      </w:r>
    </w:p>
    <w:p>
      <w:pPr>
        <w:spacing w:after="160"/>
      </w:pPr>
      <w:r>
        <w:rPr>
          <w:rFonts w:ascii="Arial" w:cs="Arial" w:eastAsia="Arial" w:hAnsi="Arial"/>
          <w:sz w:val="22"/>
          <w:szCs w:val="22"/>
        </w:rPr>
        <w:t xml:space="preserve">Part One: From Provincial Mission to Missionary Order Proposal Summary</w:t>
      </w:r>
    </w:p>
    <w:p>
      <w:pPr>
        <w:spacing w:after="160"/>
      </w:pPr>
      <w:r>
        <w:rPr>
          <w:rFonts w:ascii="Arial" w:cs="Arial" w:eastAsia="Arial" w:hAnsi="Arial"/>
          <w:sz w:val="22"/>
          <w:szCs w:val="22"/>
        </w:rPr>
        <w:t xml:space="preserve">1) The AMiA will transition from an outreach of the Province of Rwanda into a</w:t>
      </w:r>
    </w:p>
    <w:p>
      <w:pPr>
        <w:spacing w:after="160"/>
      </w:pPr>
      <w:r>
        <w:rPr>
          <w:rFonts w:ascii="Arial" w:cs="Arial" w:eastAsia="Arial" w:hAnsi="Arial"/>
          <w:sz w:val="22"/>
          <w:szCs w:val="22"/>
        </w:rPr>
        <w:t xml:space="preserve">Missionary society. (in the tradition of religious orders such as the Jesuits).[KFD1] KFD1]</w:t>
      </w:r>
    </w:p>
    <w:p>
      <w:pPr>
        <w:spacing w:after="160"/>
      </w:pPr>
      <w:r>
        <w:rPr>
          <w:rFonts w:ascii="Arial" w:cs="Arial" w:eastAsia="Arial" w:hAnsi="Arial"/>
          <w:sz w:val="22"/>
          <w:szCs w:val="22"/>
        </w:rPr>
        <w:t xml:space="preserve">It was specifically stated that this society was an apostolic work of laity and clergy and NOT IN ANY WAY similar to a religious order as SLIDE #11 of the presentation specifically stated that the society would be a fellowship of Anglican clergy and laity, organized as a society of apostolic works. This can be found in the church (east and west) in ecclesiastical entities such as :</w:t>
      </w:r>
    </w:p>
    <w:p>
      <w:pPr>
        <w:spacing w:after="160"/>
      </w:pPr>
      <w:r>
        <w:rPr>
          <w:rFonts w:ascii="Arial" w:cs="Arial" w:eastAsia="Arial" w:hAnsi="Arial"/>
          <w:sz w:val="22"/>
          <w:szCs w:val="22"/>
        </w:rPr>
        <w:t xml:space="preserve">1. The Society of St. Michael (SSM - Anglican )</w:t>
      </w:r>
    </w:p>
    <w:p>
      <w:pPr>
        <w:spacing w:after="160"/>
      </w:pPr>
      <w:r>
        <w:rPr>
          <w:rFonts w:ascii="Arial" w:cs="Arial" w:eastAsia="Arial" w:hAnsi="Arial"/>
          <w:sz w:val="22"/>
          <w:szCs w:val="22"/>
        </w:rPr>
        <w:t xml:space="preserve">2. The Society of the Holy Cross (SSC-Anglican)</w:t>
      </w:r>
    </w:p>
    <w:p>
      <w:pPr>
        <w:spacing w:after="160"/>
      </w:pPr>
      <w:r>
        <w:rPr>
          <w:rFonts w:ascii="Arial" w:cs="Arial" w:eastAsia="Arial" w:hAnsi="Arial"/>
          <w:sz w:val="22"/>
          <w:szCs w:val="22"/>
        </w:rPr>
        <w:t xml:space="preserve">3. Church Missionary Society ( CMS-Anglican)</w:t>
      </w:r>
    </w:p>
    <w:p>
      <w:pPr>
        <w:spacing w:after="160"/>
      </w:pPr>
      <w:r>
        <w:rPr>
          <w:rFonts w:ascii="Arial" w:cs="Arial" w:eastAsia="Arial" w:hAnsi="Arial"/>
          <w:sz w:val="22"/>
          <w:szCs w:val="22"/>
        </w:rPr>
        <w:t xml:space="preserve">4. Apostolic Work Society -(Church of Ireland)</w:t>
      </w:r>
    </w:p>
    <w:p>
      <w:pPr>
        <w:spacing w:after="160"/>
      </w:pPr>
      <w:r>
        <w:rPr>
          <w:rFonts w:ascii="Arial" w:cs="Arial" w:eastAsia="Arial" w:hAnsi="Arial"/>
          <w:sz w:val="22"/>
          <w:szCs w:val="22"/>
        </w:rPr>
        <w:t xml:space="preserve">5. The Orartorians (C.O. - Roman Catholic-Latin Rite)</w:t>
      </w:r>
    </w:p>
    <w:p>
      <w:pPr>
        <w:spacing w:after="160"/>
      </w:pPr>
      <w:r>
        <w:rPr>
          <w:rFonts w:ascii="Arial" w:cs="Arial" w:eastAsia="Arial" w:hAnsi="Arial"/>
          <w:sz w:val="22"/>
          <w:szCs w:val="22"/>
        </w:rPr>
        <w:t xml:space="preserve">6. The Society of St. John Chrysostom (SSJC - Antoiochian Orthodox)</w:t>
      </w:r>
    </w:p>
    <w:p>
      <w:pPr>
        <w:spacing w:after="160"/>
      </w:pPr>
      <w:r>
        <w:rPr>
          <w:rFonts w:ascii="Arial" w:cs="Arial" w:eastAsia="Arial" w:hAnsi="Arial"/>
          <w:sz w:val="22"/>
          <w:szCs w:val="22"/>
        </w:rPr>
        <w:t xml:space="preserve">7. The Missionary Society of St. Thomas (Eastern Rite -Syro-Malabar Church)</w:t>
      </w:r>
    </w:p>
    <w:p>
      <w:pPr>
        <w:spacing w:after="160"/>
      </w:pPr>
      <w:r>
        <w:rPr>
          <w:rFonts w:ascii="Arial" w:cs="Arial" w:eastAsia="Arial" w:hAnsi="Arial"/>
          <w:sz w:val="22"/>
          <w:szCs w:val="22"/>
        </w:rPr>
        <w:t xml:space="preserve">2) The AMiA's missionary bishops will serve together as a Conference of Bishops. They will have no authority except what is granted them by the ordinal [KFD2] in the Book of Common Prayer or delegated to them by the Apostolic Vicar. [KFD2] The principle of authority and governance in canon law is that ordinary jurisdiction is that oversight which by virtue of the law is attached to a given office; delegated power is that which is granted to a person other than through an office. Ordinary power of governance may be proper or vicarious and ordinary power for jurisdiction resides in a bishops with a diocese in secular ministry. Thus as Missionary Bishops have no jurisdiction they have no ordinary power 3) The new structure will permit the ordination of women to the priesthood but not require it. AMiA clergy will opt for either the Normative Rite (male presbyters) or the Provisional Rite (male.and female presbyters) according to preference. [KFD3] This is not a new response only framing what is the practice. One makes a decision according to the position of receptionism over and above conciliarism</w:t>
      </w:r>
    </w:p>
    <w:p>
      <w:pPr>
        <w:spacing w:after="160"/>
      </w:pPr>
      <w:r>
        <w:rPr>
          <w:rFonts w:ascii="Arial" w:cs="Arial" w:eastAsia="Arial" w:hAnsi="Arial"/>
          <w:sz w:val="22"/>
          <w:szCs w:val="22"/>
        </w:rPr>
        <w:t xml:space="preserve">Proposal Rationale</w:t>
      </w:r>
    </w:p>
    <w:p>
      <w:pPr>
        <w:spacing w:after="160"/>
      </w:pPr>
      <w:r>
        <w:rPr>
          <w:rFonts w:ascii="Arial" w:cs="Arial" w:eastAsia="Arial" w:hAnsi="Arial"/>
          <w:sz w:val="22"/>
          <w:szCs w:val="22"/>
        </w:rPr>
        <w:t xml:space="preserve">The Chairman prefaced the proposal with an explanatory narrative, emphasizing the Following items as rationale for making this transition.</w:t>
      </w:r>
    </w:p>
    <w:p>
      <w:pPr>
        <w:spacing w:after="160"/>
      </w:pPr>
      <w:r>
        <w:rPr>
          <w:rFonts w:ascii="Arial" w:cs="Arial" w:eastAsia="Arial" w:hAnsi="Arial"/>
          <w:sz w:val="22"/>
          <w:szCs w:val="22"/>
        </w:rPr>
        <w:t xml:space="preserve">Under Item #3 Financial Questions the paper states "He said that the AMiA's gifts to Rwanda had not been routine payments, but instead occasional gifts [KFD4] based on needs expressed to him". [KFD4]The position has been the monies to Rwanda are not an assessment but rather a discretionary gift and that is how it was framed and has been framed.</w:t>
      </w:r>
    </w:p>
    <w:p>
      <w:pPr>
        <w:spacing w:after="160"/>
      </w:pPr>
      <w:r>
        <w:rPr>
          <w:rFonts w:ascii="Arial" w:cs="Arial" w:eastAsia="Arial" w:hAnsi="Arial"/>
          <w:sz w:val="22"/>
          <w:szCs w:val="22"/>
        </w:rPr>
        <w:t xml:space="preserve">In Item #4 Ecclesiastical Vulnerability the paper states: Bishop Murphy has often said, that the AMiA "is embedded [KFD5] in the Constitution and Canons of the Province of Rwanda......</w:t>
      </w:r>
    </w:p>
    <w:p>
      <w:pPr>
        <w:spacing w:after="160"/>
      </w:pPr>
      <w:r>
        <w:rPr>
          <w:rFonts w:ascii="Arial" w:cs="Arial" w:eastAsia="Arial" w:hAnsi="Arial"/>
          <w:sz w:val="22"/>
          <w:szCs w:val="22"/>
        </w:rPr>
        <w:t xml:space="preserve">[KFD5] As was stated at the meeting this has become a popular term to express a complex canonical reality. The Anglican Mission is provided for by canonical constructs in the Canons of Rwanda (cf. Title I, Canon VI)</w:t>
      </w:r>
    </w:p>
    <w:p>
      <w:pPr>
        <w:spacing w:after="160"/>
      </w:pPr>
      <w:r>
        <w:rPr>
          <w:rFonts w:ascii="Arial" w:cs="Arial" w:eastAsia="Arial" w:hAnsi="Arial"/>
          <w:sz w:val="22"/>
          <w:szCs w:val="22"/>
        </w:rPr>
        <w:t xml:space="preserve">MOREOVER Bp Murphy is concerned that the next Archbishop may not renew the prelature [KFD6] , in which case the AMiA would no longer have any formal relationship with the Province of Rwanda, and the Anglican legitimacy of the AMiA would be in jeopardy. [KFD6]This is not +Murphy's concern per se but it is an overarching canonical fact. It is that Primatial relationship that serves as the foundation of being constituted in relationship to the wider Communion.</w:t>
      </w:r>
    </w:p>
    <w:p>
      <w:pPr>
        <w:spacing w:after="160"/>
      </w:pPr>
      <w:r>
        <w:rPr>
          <w:rFonts w:ascii="Arial" w:cs="Arial" w:eastAsia="Arial" w:hAnsi="Arial"/>
          <w:sz w:val="22"/>
          <w:szCs w:val="22"/>
        </w:rPr>
        <w:t xml:space="preserve">Part Two: What is the Best Way Forward?</w:t>
      </w:r>
    </w:p>
    <w:p>
      <w:pPr>
        <w:spacing w:after="160"/>
      </w:pPr>
      <w:r>
        <w:rPr>
          <w:rFonts w:ascii="Arial" w:cs="Arial" w:eastAsia="Arial" w:hAnsi="Arial"/>
          <w:sz w:val="22"/>
          <w:szCs w:val="22"/>
        </w:rPr>
        <w:t xml:space="preserve">4. The proposed structure perpetuates a top heavy polity.... Meanwhile, the national officers all work for the Chairman, the missionary bishops function effectively as His suffragans, and there is no regular college of presbyters[KFD7] .</w:t>
      </w:r>
    </w:p>
    <w:p>
      <w:pPr>
        <w:spacing w:after="160"/>
      </w:pPr>
      <w:r>
        <w:rPr>
          <w:rFonts w:ascii="Arial" w:cs="Arial" w:eastAsia="Arial" w:hAnsi="Arial"/>
          <w:sz w:val="22"/>
          <w:szCs w:val="22"/>
        </w:rPr>
        <w:t xml:space="preserve">1) The entire staff of the Office of the Chair/Apostolic Vicar do not work for him but as an extension of his ministry and answerer able to the College</w:t>
      </w:r>
    </w:p>
    <w:p>
      <w:pPr>
        <w:spacing w:after="160"/>
      </w:pPr>
      <w:r>
        <w:rPr>
          <w:rFonts w:ascii="Arial" w:cs="Arial" w:eastAsia="Arial" w:hAnsi="Arial"/>
          <w:sz w:val="22"/>
          <w:szCs w:val="22"/>
        </w:rPr>
        <w:t xml:space="preserve">2) Missionary Bishops are not effectively suffragans as a matter if law and tradition in the Church A suffragan bishopric, to which is attached the name of a prominent or ancient town within a diocese other than the cathedral city, is an office to which a bishop is appointed to assist the diocesan bishop in those functions which can only be undertaken by someone in episcopal orders e.g. confirmation or ordination. A suffragan bishop also shares in the diocesan bishop's pastoral care of the clergy and people of the diocese in such a way as the diocesan bishop requires him to. In some dioceses there are a number of suffragans each responsible for a geographical area in the diocese; elsewhere a suffragan operates on behalf of the bishop throughout the diocese.</w:t>
      </w:r>
    </w:p>
    <w:p>
      <w:pPr>
        <w:spacing w:after="160"/>
      </w:pPr>
      <w:r>
        <w:rPr>
          <w:rFonts w:ascii="Arial" w:cs="Arial" w:eastAsia="Arial" w:hAnsi="Arial"/>
          <w:sz w:val="22"/>
          <w:szCs w:val="22"/>
        </w:rPr>
        <w:t xml:space="preserve">3) There is not only planned to institute a duly constituted College of Presbyters nationally but also the need for one locally at the Network level.</w:t>
      </w:r>
    </w:p>
    <w:p>
      <w:pPr>
        <w:spacing w:after="160"/>
      </w:pPr>
      <w:r>
        <w:rPr>
          <w:rFonts w:ascii="Arial" w:cs="Arial" w:eastAsia="Arial" w:hAnsi="Arial"/>
          <w:sz w:val="22"/>
          <w:szCs w:val="22"/>
        </w:rPr>
        <w:t xml:space="preserve">Our biggest concern is it codifies the Chair's unilaterial authority During the retreat he (Canon Donlon) explained his understanding of the discipline of canon law. In the traditional Roman Catholic sense [KFD8] : that not only is there Holy Scripture, but also Natural law, from which ecclesiastical canon law is derived. In other words, in this framework, canon law does not flow out of Scripture, but runs parallel to it. [KFD8]</w:t>
      </w:r>
    </w:p>
    <w:p>
      <w:pPr>
        <w:spacing w:after="160"/>
      </w:pPr>
      <w:r>
        <w:rPr>
          <w:rFonts w:ascii="Arial" w:cs="Arial" w:eastAsia="Arial" w:hAnsi="Arial"/>
          <w:sz w:val="22"/>
          <w:szCs w:val="22"/>
        </w:rPr>
        <w:t xml:space="preserve">The explanation was not given in any Roman Catholic sense at all in fact specific reference was given to the Principles of Canon Law for Churches of the Anglican Communion. In fact particular reference was made to 2 Principles ( cf. http://www.acclawnet.co.uk/docs/principles.pdf)</w:t>
      </w:r>
    </w:p>
    <w:p>
      <w:pPr>
        <w:spacing w:after="160"/>
      </w:pPr>
      <w:r>
        <w:rPr>
          <w:rFonts w:ascii="Arial" w:cs="Arial" w:eastAsia="Arial" w:hAnsi="Arial"/>
          <w:sz w:val="22"/>
          <w:szCs w:val="22"/>
        </w:rPr>
        <w:t xml:space="preserve">Principle 2: Law as servant</w:t>
      </w:r>
    </w:p>
    <w:p>
      <w:pPr>
        <w:spacing w:after="160"/>
      </w:pPr>
      <w:r>
        <w:rPr>
          <w:rFonts w:ascii="Arial" w:cs="Arial" w:eastAsia="Arial" w:hAnsi="Arial"/>
          <w:sz w:val="22"/>
          <w:szCs w:val="22"/>
        </w:rPr>
        <w:t xml:space="preserve">1. Law is the servant of the church.</w:t>
      </w:r>
    </w:p>
    <w:p>
      <w:pPr>
        <w:spacing w:after="160"/>
      </w:pPr>
      <w:r>
        <w:rPr>
          <w:rFonts w:ascii="Arial" w:cs="Arial" w:eastAsia="Arial" w:hAnsi="Arial"/>
          <w:sz w:val="22"/>
          <w:szCs w:val="22"/>
        </w:rPr>
        <w:t xml:space="preserve">2. Law should reflect the revealed will of God.</w:t>
      </w:r>
    </w:p>
    <w:p>
      <w:pPr>
        <w:spacing w:after="160"/>
      </w:pPr>
      <w:r>
        <w:rPr>
          <w:rFonts w:ascii="Arial" w:cs="Arial" w:eastAsia="Arial" w:hAnsi="Arial"/>
          <w:sz w:val="22"/>
          <w:szCs w:val="22"/>
        </w:rPr>
        <w:t xml:space="preserve">3. Law has a historical basis and a theological foundation, rationale and end.</w:t>
      </w:r>
    </w:p>
    <w:p>
      <w:pPr>
        <w:spacing w:after="160"/>
      </w:pPr>
      <w:r>
        <w:rPr>
          <w:rFonts w:ascii="Arial" w:cs="Arial" w:eastAsia="Arial" w:hAnsi="Arial"/>
          <w:sz w:val="22"/>
          <w:szCs w:val="22"/>
        </w:rPr>
        <w:t xml:space="preserve">4. Law is intended to express publicly the theological self-understanding and practical policies of a church.</w:t>
      </w:r>
    </w:p>
    <w:p>
      <w:pPr>
        <w:spacing w:after="160"/>
      </w:pPr>
      <w:r>
        <w:rPr>
          <w:rFonts w:ascii="Arial" w:cs="Arial" w:eastAsia="Arial" w:hAnsi="Arial"/>
          <w:sz w:val="22"/>
          <w:szCs w:val="22"/>
        </w:rPr>
        <w:t xml:space="preserve">5. Law in a church exists to uphold the integrity of the faith, sacraments and mission, to provide good order, to support communion amongst the faithful, to put into action Christian values, and to prevent and resolve conflict. Principle 4: The sources and forms of law</w:t>
      </w:r>
    </w:p>
    <w:p>
      <w:pPr>
        <w:spacing w:after="160"/>
      </w:pPr>
      <w:r>
        <w:rPr>
          <w:rFonts w:ascii="Arial" w:cs="Arial" w:eastAsia="Arial" w:hAnsi="Arial"/>
          <w:sz w:val="22"/>
          <w:szCs w:val="22"/>
        </w:rPr>
        <w:t xml:space="preserve">1. Scripture, tradition and reason are fundamental authoritative sources of law.</w:t>
      </w:r>
    </w:p>
    <w:p>
      <w:pPr>
        <w:spacing w:after="160"/>
      </w:pPr>
      <w:r>
        <w:rPr>
          <w:rFonts w:ascii="Arial" w:cs="Arial" w:eastAsia="Arial" w:hAnsi="Arial"/>
          <w:sz w:val="22"/>
          <w:szCs w:val="22"/>
        </w:rPr>
        <w:t xml:space="preserve">2. The laws of churches exist in a variety of formal sources which should be identifiable, including constitutions, canons, rules, regulations, and other instruments.</w:t>
      </w:r>
    </w:p>
    <w:p>
      <w:pPr>
        <w:spacing w:after="160"/>
      </w:pPr>
      <w:r>
        <w:rPr>
          <w:rFonts w:ascii="Arial" w:cs="Arial" w:eastAsia="Arial" w:hAnsi="Arial"/>
          <w:sz w:val="22"/>
          <w:szCs w:val="22"/>
        </w:rPr>
        <w:t xml:space="preserve">Classical Anglicanism, on the other hand, understands canon law to be derived from and subordinate to Scripture (cf.Article.34[KFD9] ).[KFD9] I refer the clergy here to Gerald Bray's edited text, Tudor Church Reform: The Henrician Canons of 1535 and the Reformatio Legum Ecclesiastcarum. (Woodbridge, Suffolk: The Boydell, Press, 2000) pgs xv-clix. It should be noted that it is this historical context the teaching of canon law at the Universities of Oxford and Cambridge was abrogated by Henry VIII and this effected how Canon Law was understood As a matter of fact thereafter practitioners in the ecclesiastical courts were trained in civil law, receiving a Doctor of Civil Law (D.C.L.) degree from Oxford, or an LL.D. from Cambridge</w:t>
      </w:r>
    </w:p>
    <w:p>
      <w:pPr>
        <w:spacing w:after="160"/>
      </w:pPr>
      <w:r>
        <w:rPr>
          <w:rFonts w:ascii="Arial" w:cs="Arial" w:eastAsia="Arial" w:hAnsi="Arial"/>
          <w:sz w:val="22"/>
          <w:szCs w:val="22"/>
        </w:rPr>
        <w:t xml:space="preserve">"Here's the problem: the Chairman's canon lawyer has tailor made a.structure that fits existing AMiA hierarchy not on the basis of Scripture or classical. Anglican tradition" -</w:t>
      </w:r>
    </w:p>
    <w:p>
      <w:pPr>
        <w:spacing w:after="160"/>
      </w:pPr>
      <w:r>
        <w:rPr>
          <w:rFonts w:ascii="Arial" w:cs="Arial" w:eastAsia="Arial" w:hAnsi="Arial"/>
          <w:sz w:val="22"/>
          <w:szCs w:val="22"/>
        </w:rPr>
        <w:t xml:space="preserve">KFD COMMENTS ON THE ABOVE SECTION FOLLOWS BELOW</w:t>
      </w:r>
    </w:p>
    <w:p>
      <w:pPr>
        <w:spacing w:after="160"/>
      </w:pPr>
      <w:r>
        <w:rPr>
          <w:rFonts w:ascii="Arial" w:cs="Arial" w:eastAsia="Arial" w:hAnsi="Arial"/>
          <w:sz w:val="22"/>
          <w:szCs w:val="22"/>
        </w:rPr>
        <w:t xml:space="preserve">While Article 34 does not specifically reference canon law I concur that there is a body of historical documents that constitute the canon law tradition and specifically the ius canonica Anglicanae. Perhaps there is not a more revered voice in the relationship of Divine and Ecclesiastical Law than Richard Hooker. It has been asserted since the days of Hooker that the cornerstone of doctrine for Anglicans does not come from a "magesterium" but "rise[s] from the community which responds in faith to God made known in Jesus Christ... whose interior of the spiritual life is validated by the integrity of the external expressions of public worship."[1]</w:t>
      </w:r>
    </w:p>
    <w:p>
      <w:pPr>
        <w:spacing w:after="160"/>
      </w:pPr>
      <w:r>
        <w:rPr>
          <w:rFonts w:ascii="Arial" w:cs="Arial" w:eastAsia="Arial" w:hAnsi="Arial"/>
          <w:sz w:val="22"/>
          <w:szCs w:val="22"/>
        </w:rPr>
        <w:t xml:space="preserve">This was revolutionary in the post reformation experience because it suggests a doctrine of the church whose call is to be faithful not only to Scripture or to tradition, but to God. Richard Hooker was perhaps mindful of this as he sought to establish the identity of the reformed Church of England as distinctively Anglican and differentiated from Puritans and Roman Catholics in matters of faith and order.</w:t>
      </w:r>
    </w:p>
    <w:p>
      <w:pPr>
        <w:spacing w:after="160"/>
      </w:pPr>
      <w:r>
        <w:rPr>
          <w:rFonts w:ascii="Arial" w:cs="Arial" w:eastAsia="Arial" w:hAnsi="Arial"/>
          <w:sz w:val="22"/>
          <w:szCs w:val="22"/>
        </w:rPr>
        <w:t xml:space="preserve">He promoted the essence of natural laws, as laws that are simply understood by all and that these natural laws are why we, as human beings, have certain goodness. Conversely, Hooker states that humans also naturally have a rebellious side and suggests this is why Government needs to play its role in society and enact "positive laws" to create external order.[2]</w:t>
      </w:r>
    </w:p>
    <w:p>
      <w:pPr>
        <w:spacing w:after="160"/>
      </w:pPr>
      <w:r>
        <w:rPr>
          <w:rFonts w:ascii="Arial" w:cs="Arial" w:eastAsia="Arial" w:hAnsi="Arial"/>
          <w:sz w:val="22"/>
          <w:szCs w:val="22"/>
        </w:rPr>
        <w:t xml:space="preserve">Writing from an Aristotelian point of view, Hooker has at his disposal both the apparatus of both church and state to frame this reformed order. The strong emphasis he places on natural law offers a firm foundation by which all positive laws of Church could be developed given these three cords.[3] Moreover, Hooker makes the case for order and identity in the ministry of the Church in England and subsequently for our purposes the Communion</w:t>
      </w:r>
    </w:p>
    <w:p>
      <w:pPr>
        <w:spacing w:after="160"/>
      </w:pPr>
      <w:r>
        <w:rPr>
          <w:rFonts w:ascii="Arial" w:cs="Arial" w:eastAsia="Arial" w:hAnsi="Arial"/>
          <w:sz w:val="22"/>
          <w:szCs w:val="22"/>
        </w:rPr>
        <w:t xml:space="preserve">Just Hooker endeavored to explain the role of Scripture, Reason, Tradition and Authority in the 17th Century, that challenge has continued as recently as 1997 when the Inter-Anglican Theological and Doctrinal Commission issued the Virginia Report In Chapter 3 we find under the heading The Anglican Way : Scripture, Tradition and Reason:</w:t>
      </w:r>
    </w:p>
    <w:p>
      <w:pPr>
        <w:spacing w:after="160"/>
      </w:pPr>
      <w:r>
        <w:rPr>
          <w:rFonts w:ascii="Arial" w:cs="Arial" w:eastAsia="Arial" w:hAnsi="Arial"/>
          <w:sz w:val="22"/>
          <w:szCs w:val="22"/>
        </w:rPr>
        <w:t xml:space="preserve">3.6 Anglicans affirm the sovereign authority of the Holy Scriptures as the medium through which God by the Spirit communicates his word in the Church and thus enables people to respond with understanding and faith. The Scriptures are "uniquely inspired witness to divine revelation", and "the primary norm for Christian faith and life".</w:t>
      </w:r>
    </w:p>
    <w:p>
      <w:pPr>
        <w:spacing w:after="160"/>
      </w:pPr>
      <w:r>
        <w:rPr>
          <w:rFonts w:ascii="Arial" w:cs="Arial" w:eastAsia="Arial" w:hAnsi="Arial"/>
          <w:sz w:val="22"/>
          <w:szCs w:val="22"/>
        </w:rPr>
        <w:t xml:space="preserve">3.7 The Scriptures, however, must be translated, read, and understood, and their meaning grasped through a continuing process of interpretation. Since the seventeenth century Anglicans have held that Scripture is to be understood and read in the light afforded by the contexts of "tradition" and "reason".</w:t>
      </w:r>
    </w:p>
    <w:p>
      <w:pPr>
        <w:spacing w:after="160"/>
      </w:pPr>
      <w:r>
        <w:rPr>
          <w:rFonts w:ascii="Arial" w:cs="Arial" w:eastAsia="Arial" w:hAnsi="Arial"/>
          <w:sz w:val="22"/>
          <w:szCs w:val="22"/>
        </w:rPr>
        <w:t xml:space="preserve">3.8 In one sense tradition denotes the Scriptures themselves, in that they embody "the tradition", "the message", "the faith once delivered to the saints". Tradition refers to the ongoing Spirit-guided life of the Church which receives, and in receiving interprets afresh, God's abiding message....</w:t>
      </w:r>
    </w:p>
    <w:p>
      <w:pPr>
        <w:spacing w:after="160"/>
      </w:pPr>
      <w:r>
        <w:rPr>
          <w:rFonts w:ascii="Arial" w:cs="Arial" w:eastAsia="Arial" w:hAnsi="Arial"/>
          <w:sz w:val="22"/>
          <w:szCs w:val="22"/>
        </w:rPr>
        <w:t xml:space="preserve">3.9 Properly speaking "reason" means simply the human being's capacity to symbolize, and so to order, share and communicate experience. It is the divine gift in virtue of which human persons respond and act with awareness in relation to their world and to God, and are opened up to that which is true for every time and every place. Reason cannot be divorced either from Scripture or tradition, since neither is conceivable apart from the working of reason.... The appeal to reason then becomes what people - and that means people in a given time and place - take as good sense or "common" sense. It refers to what can be called "the mind of a particular culture", with its characteristic ways of seeing things, asking about them, and explaining them. If tradition is the mind that Christians share as believers and members of the Church, reason is the mind they share as participants in a particular culture.</w:t>
      </w:r>
    </w:p>
    <w:p>
      <w:pPr>
        <w:spacing w:after="160"/>
      </w:pPr>
      <w:r>
        <w:rPr>
          <w:rFonts w:ascii="Arial" w:cs="Arial" w:eastAsia="Arial" w:hAnsi="Arial"/>
          <w:sz w:val="22"/>
          <w:szCs w:val="22"/>
        </w:rPr>
        <w:t xml:space="preserve">3.10 Anglicanism sees reason in the sense of the "mind" of the culture in which the Church lives and the Gospel is proclaimed, as a legitimate and necessary instrument for the interpretation of God's message in the Scriptures. Sometimes Scriptures affirm the new insights of a particular age or culture, sometimes they challenge or contradict those insights....</w:t>
      </w:r>
    </w:p>
    <w:p>
      <w:pPr>
        <w:spacing w:after="160"/>
      </w:pPr>
      <w:r>
        <w:rPr>
          <w:rFonts w:ascii="Arial" w:cs="Arial" w:eastAsia="Arial" w:hAnsi="Arial"/>
          <w:sz w:val="22"/>
          <w:szCs w:val="22"/>
        </w:rPr>
        <w:t xml:space="preserve">3.11 The characteristic Anglican way of living with a constant dynamic interplay of Scripture, tradition and reason means that the mind of God has constantly to be discerned afresh, not only in every age.</w:t>
      </w:r>
    </w:p>
    <w:p>
      <w:pPr>
        <w:spacing w:after="160"/>
      </w:pPr>
      <w:r>
        <w:rPr>
          <w:rFonts w:ascii="Arial" w:cs="Arial" w:eastAsia="Arial" w:hAnsi="Arial"/>
          <w:sz w:val="22"/>
          <w:szCs w:val="22"/>
        </w:rPr>
        <w:t xml:space="preserve">There was no suggestion Canon Law runs parallel to Scripture. What was offered a historical chart to show the evolution of church law flowing from both divine law and civil law. I stand with Archbishop Ramsey who said "Reason increases and enlarges human understanding of divine revelation through its own workings, so long as reason is used in humble dependence upon the God who gave it." So is the same with Canon Law as suggested in Principle 2.2 of the Principles of Canon Law.</w:t>
      </w:r>
    </w:p>
    <w:p>
      <w:pPr>
        <w:spacing w:after="160"/>
      </w:pPr>
      <w:r>
        <w:rPr>
          <w:rFonts w:ascii="Arial" w:cs="Arial" w:eastAsia="Arial" w:hAnsi="Arial"/>
          <w:sz w:val="22"/>
          <w:szCs w:val="22"/>
        </w:rPr>
        <w:t xml:space="preserve">Canon Law and its historical structures have a certain level of complexity and language. In settings of diverse groups who may not have the common vocabulary and academic acuity in the discipline, it is not uncommon to use images that are popular and accessible, thus referring to the College of Cardinals in most people's imagination gives an image as opposed to a Chapter of Canons.</w:t>
      </w:r>
    </w:p>
    <w:p>
      <w:pPr>
        <w:spacing w:after="160"/>
      </w:pPr>
      <w:r>
        <w:rPr>
          <w:rFonts w:ascii="Arial" w:cs="Arial" w:eastAsia="Arial" w:hAnsi="Arial"/>
          <w:sz w:val="22"/>
          <w:szCs w:val="22"/>
        </w:rPr>
        <w:t xml:space="preserve">However, such references while accessible and easy do create an opportunity for theological agendas and bias to find their was into the conversation.</w:t>
      </w:r>
    </w:p>
    <w:p>
      <w:pPr>
        <w:spacing w:after="160"/>
      </w:pPr>
      <w:r>
        <w:rPr>
          <w:rFonts w:ascii="Arial" w:cs="Arial" w:eastAsia="Arial" w:hAnsi="Arial"/>
          <w:sz w:val="22"/>
          <w:szCs w:val="22"/>
        </w:rPr>
        <w:t xml:space="preserve">The ecclesiological constructs that were discussed despite was the Rev's Claire, Colson and Hinson suggest are not Roman In fact, like most integrated canonical research they have elements from the Western elements of Canon Law ( Anglican and Roman) as well as Eastern elements of Canon Law ( Byzantine and Orthodox) . To assist in widening the scope of understanding I send along the following bibliography that perhaps if people would educate themselves with such wild assertions can be avoided. KFD+</w:t>
      </w:r>
    </w:p>
    <w:p>
      <w:pPr>
        <w:spacing w:after="160"/>
      </w:pPr>
      <w:r>
        <w:rPr>
          <w:rFonts w:ascii="Arial" w:cs="Arial" w:eastAsia="Arial" w:hAnsi="Arial"/>
          <w:sz w:val="22"/>
          <w:szCs w:val="22"/>
        </w:rPr>
        <w:t xml:space="preserve">BIBLIOGRAPHY</w:t>
      </w:r>
    </w:p>
    <w:p>
      <w:pPr>
        <w:spacing w:after="160"/>
      </w:pPr>
      <w:r>
        <w:rPr>
          <w:rFonts w:ascii="Arial" w:cs="Arial" w:eastAsia="Arial" w:hAnsi="Arial"/>
          <w:sz w:val="22"/>
          <w:szCs w:val="22"/>
        </w:rPr>
        <w:t xml:space="preserve">"The Gift of Authority". The Anglican - Roman Catholic International Commission. 1999. Authority in the Anglican Communion. Ed. Stephen W. Sykes. Toronto: Anglican Book Centre, 1987.</w:t>
      </w:r>
    </w:p>
    <w:p>
      <w:pPr>
        <w:spacing w:after="160"/>
      </w:pPr>
      <w:r>
        <w:rPr>
          <w:rFonts w:ascii="Arial" w:cs="Arial" w:eastAsia="Arial" w:hAnsi="Arial"/>
          <w:sz w:val="22"/>
          <w:szCs w:val="22"/>
        </w:rPr>
        <w:t xml:space="preserve">Doe, Norman "Canon Law and Communion" . A paper presented to the Primates Meeting. Kanuga 2001.</w:t>
      </w:r>
    </w:p>
    <w:p>
      <w:pPr>
        <w:spacing w:after="160"/>
      </w:pPr>
      <w:r>
        <w:rPr>
          <w:rFonts w:ascii="Arial" w:cs="Arial" w:eastAsia="Arial" w:hAnsi="Arial"/>
          <w:sz w:val="22"/>
          <w:szCs w:val="22"/>
        </w:rPr>
        <w:t xml:space="preserve">Doe, Norman - Canon Law in the Anglican Communion. Oxford: Clarendon Press, 1998.</w:t>
      </w:r>
    </w:p>
    <w:p>
      <w:pPr>
        <w:spacing w:after="160"/>
      </w:pPr>
      <w:r>
        <w:rPr>
          <w:rFonts w:ascii="Arial" w:cs="Arial" w:eastAsia="Arial" w:hAnsi="Arial"/>
          <w:sz w:val="22"/>
          <w:szCs w:val="22"/>
        </w:rPr>
        <w:t xml:space="preserve">Halliburton, John. The Authority of a Bishop. London: SPCK, 1987</w:t>
      </w:r>
    </w:p>
    <w:p>
      <w:pPr>
        <w:spacing w:after="160"/>
      </w:pPr>
      <w:r>
        <w:rPr>
          <w:rFonts w:ascii="Arial" w:cs="Arial" w:eastAsia="Arial" w:hAnsi="Arial"/>
          <w:sz w:val="22"/>
          <w:szCs w:val="22"/>
        </w:rPr>
        <w:t xml:space="preserve">Hess, Hamilton, The Early Development of Canon Law and the Council of Serdica Oxford: Oxford University Press, 2002.</w:t>
      </w:r>
    </w:p>
    <w:p>
      <w:pPr>
        <w:spacing w:after="160"/>
      </w:pPr>
      <w:r>
        <w:rPr>
          <w:rFonts w:ascii="Arial" w:cs="Arial" w:eastAsia="Arial" w:hAnsi="Arial"/>
          <w:sz w:val="22"/>
          <w:szCs w:val="22"/>
        </w:rPr>
        <w:t xml:space="preserve">Hemholz, R.H., Roman Canon Law in Reformation England. Cambridge: Cambridge University Press, 1990</w:t>
      </w:r>
    </w:p>
    <w:p>
      <w:pPr>
        <w:spacing w:after="160"/>
      </w:pPr>
      <w:r>
        <w:rPr>
          <w:rFonts w:ascii="Arial" w:cs="Arial" w:eastAsia="Arial" w:hAnsi="Arial"/>
          <w:sz w:val="22"/>
          <w:szCs w:val="22"/>
        </w:rPr>
        <w:t xml:space="preserve">Hooker, Richard., Of TheLaws of Ecclesiastical Polity., Vol I &amp; III (London: A. J. Dent &amp; Sons.,1907),</w:t>
      </w:r>
    </w:p>
    <w:p>
      <w:pPr>
        <w:spacing w:after="160"/>
      </w:pPr>
      <w:r>
        <w:rPr>
          <w:rFonts w:ascii="Arial" w:cs="Arial" w:eastAsia="Arial" w:hAnsi="Arial"/>
          <w:sz w:val="22"/>
          <w:szCs w:val="22"/>
        </w:rPr>
        <w:t xml:space="preserve">Kress, Robert., The Church in Communio: Trinity and Incarnation as the Foundation of Ecclesiology, The Jurist 36 (1976).</w:t>
      </w:r>
    </w:p>
    <w:p>
      <w:pPr>
        <w:spacing w:after="160"/>
      </w:pPr>
      <w:r>
        <w:rPr>
          <w:rFonts w:ascii="Arial" w:cs="Arial" w:eastAsia="Arial" w:hAnsi="Arial"/>
          <w:sz w:val="22"/>
          <w:szCs w:val="22"/>
        </w:rPr>
        <w:t xml:space="preserve">Network of Anglican Legal Advisers., Principles of Canon Law Common to the Anglican Communion, London: Anglican Communion,2005. www.aclawnet.co.uk</w:t>
      </w:r>
    </w:p>
    <w:p>
      <w:pPr>
        <w:spacing w:after="160"/>
      </w:pPr>
      <w:r>
        <w:rPr>
          <w:rFonts w:ascii="Arial" w:cs="Arial" w:eastAsia="Arial" w:hAnsi="Arial"/>
          <w:sz w:val="22"/>
          <w:szCs w:val="22"/>
        </w:rPr>
        <w:t xml:space="preserve">Nicoledies, John. The Rudder of the Orthodox Catholic Church: The Compilation of the Holy Canons by Saints Nicodemus and Agapius (Chicago: Orthodox Christian Educational Society, 1983, trans. D. Cummings.).</w:t>
      </w:r>
    </w:p>
    <w:p>
      <w:pPr>
        <w:spacing w:after="160"/>
      </w:pPr>
      <w:r>
        <w:rPr>
          <w:rFonts w:ascii="Arial" w:cs="Arial" w:eastAsia="Arial" w:hAnsi="Arial"/>
          <w:sz w:val="22"/>
          <w:szCs w:val="22"/>
        </w:rPr>
        <w:t xml:space="preserve">Stubbs, William, (ed.), Select Charters of English Constitutional History. Oxford: Clarendon Press, 1913.</w:t>
      </w:r>
    </w:p>
    <w:p>
      <w:pPr>
        <w:spacing w:after="160"/>
      </w:pPr>
      <w:r>
        <w:rPr>
          <w:rFonts w:ascii="Arial" w:cs="Arial" w:eastAsia="Arial" w:hAnsi="Arial"/>
          <w:sz w:val="22"/>
          <w:szCs w:val="22"/>
        </w:rPr>
        <w:t xml:space="preserve">Stephen W. Sykes (ed.), Authority in the Anglican Communion, Toronto: Anglican Book Centre,1987.</w:t>
      </w:r>
    </w:p>
    <w:p>
      <w:pPr>
        <w:spacing w:after="160"/>
      </w:pPr>
      <w:r>
        <w:rPr>
          <w:rFonts w:ascii="Arial" w:cs="Arial" w:eastAsia="Arial" w:hAnsi="Arial"/>
          <w:sz w:val="22"/>
          <w:szCs w:val="22"/>
        </w:rPr>
        <w:t xml:space="preserve">Sykes, Stephen and Booty John, (ed.) The Study of Anglicanism. Philadelphia: Fortress Press, 1988.</w:t>
      </w:r>
    </w:p>
    <w:p>
      <w:pPr>
        <w:spacing w:after="160"/>
      </w:pPr>
      <w:r>
        <w:rPr>
          <w:rFonts w:ascii="Arial" w:cs="Arial" w:eastAsia="Arial" w:hAnsi="Arial"/>
          <w:sz w:val="22"/>
          <w:szCs w:val="22"/>
        </w:rPr>
        <w:t xml:space="preserve">Tierney, Brian Foundations of the Conciliar Theory: The Contribution of the Medieval Canonists from Gratian to the Great Schism. Amsterdam: Brill Academic Publishers, 1997.</w:t>
      </w:r>
    </w:p>
    <w:p>
      <w:pPr>
        <w:spacing w:after="160"/>
      </w:pPr>
      <w:r>
        <w:rPr>
          <w:rFonts w:ascii="Arial" w:cs="Arial" w:eastAsia="Arial" w:hAnsi="Arial"/>
          <w:sz w:val="22"/>
          <w:szCs w:val="22"/>
        </w:rPr>
        <w:t xml:space="preserve">Winroth Anders., The Making of Gratian's Decretum. (Cambridge: Cambridge University Press, 2000). N.B.In this canonical collection, also known as the Concordia discordantium canonum ("The Concord of Discordant Canons") authoritative statements by popes, bishops church councils, theologians, and secular authorities along with Gratian own dicta, attempted to reconcile the contradictions found in the developments of ecclesiastical legislation that became the standard of canon law on the Continent.</w:t>
      </w:r>
    </w:p>
    <w:p>
      <w:pPr>
        <w:spacing w:after="160"/>
      </w:pPr>
      <w:r>
        <w:rPr>
          <w:rFonts w:ascii="Arial" w:cs="Arial" w:eastAsia="Arial" w:hAnsi="Arial"/>
          <w:sz w:val="22"/>
          <w:szCs w:val="22"/>
        </w:rPr>
        <w:t xml:space="preserve">[1] W.J. Wolf, Anglican Spirituality, (Wilton:Morehouse-Barlow,1982) p.112-113 , Spirituality of the Prayer Book by Daniel Stevick.</w:t>
      </w:r>
    </w:p>
    <w:p>
      <w:pPr>
        <w:spacing w:after="160"/>
      </w:pPr>
      <w:r>
        <w:rPr>
          <w:rFonts w:ascii="Arial" w:cs="Arial" w:eastAsia="Arial" w:hAnsi="Arial"/>
          <w:sz w:val="22"/>
          <w:szCs w:val="22"/>
        </w:rPr>
        <w:t xml:space="preserve">[2] Richard Hooker., Of the Laws of Ecclesiastical Polity: Preface Book I, Book VIII (Cambridge: Cambridge University Press, 1989)</w:t>
      </w:r>
    </w:p>
    <w:p>
      <w:pPr>
        <w:spacing w:after="160"/>
      </w:pPr>
      <w:r>
        <w:rPr>
          <w:rFonts w:ascii="Arial" w:cs="Arial" w:eastAsia="Arial" w:hAnsi="Arial"/>
          <w:sz w:val="22"/>
          <w:szCs w:val="22"/>
        </w:rPr>
        <w:t xml:space="preserve">[3] Diarmaid MacCulloch,. The Reformation: A History (New York: Viking Penguin, 2003) p.487</w:t>
      </w:r>
    </w:p>
    <w:p>
      <w:pPr>
        <w:spacing w:after="160"/>
      </w:pPr>
      <w:r>
        <w:rPr>
          <w:rFonts w:ascii="Arial" w:cs="Arial" w:eastAsia="Arial" w:hAnsi="Arial"/>
          <w:sz w:val="22"/>
          <w:szCs w:val="22"/>
        </w:rPr>
        <w:t xml:space="preserve">Lastly on a personal note the quote ... 1) Kevin Donlon explained, "The Apparatus. i.e the [Chairman's Office] is the heart and arms of the mission. Lose the Apparatus and all you have left is the body. You can stand around and sing songs, but you can't really do anything. UNTRUE NEVER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REV. DR. KEVIN DONLON (AMIA) RESPONDS TO THE WASHINGTON STATEMENT</dc:title>
  <dc:creator>VirtueOnline Archive</dc:creator>
  <cp:lastModifiedBy>Un-named</cp:lastModifiedBy>
  <cp:revision>1</cp:revision>
  <dcterms:created xsi:type="dcterms:W3CDTF">2026-04-22T11:55:33.778Z</dcterms:created>
  <dcterms:modified xsi:type="dcterms:W3CDTF">2026-04-22T11:55:33.778Z</dcterms:modified>
</cp:coreProperties>
</file>

<file path=docProps/custom.xml><?xml version="1.0" encoding="utf-8"?>
<Properties xmlns="http://schemas.openxmlformats.org/officeDocument/2006/custom-properties" xmlns:vt="http://schemas.openxmlformats.org/officeDocument/2006/docPropsVTypes"/>
</file>