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 IS NOT A "PARTY BOOK" - ROBERTA BAYER</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Roberta Bayer Ph.D</w:t>
      </w:r>
    </w:p>
    <w:p>
      <w:pPr>
        <w:spacing w:after="160"/>
      </w:pPr>
      <w:r>
        <w:rPr>
          <w:rFonts w:ascii="Arial" w:cs="Arial" w:eastAsia="Arial" w:hAnsi="Arial"/>
          <w:sz w:val="22"/>
          <w:szCs w:val="22"/>
        </w:rPr>
        <w:t xml:space="preserve">In the United States, people who use the traditional Book of Common Prayer are mistakenly called 'High Church' by Anglicans and Episcopals who worship in evangelical parishes. This is something of a misnomer because the traditional Book of Common Prayer, which belongs to Reformed Catholicism, does not require in its usage the 'catholic' elements of churchmanship which high churchmen normally seek. Its ceremonial provisions are austere by comparison with the medieval and counter-reformation rites, and the doctrine of its prayers adheres to the theological consensus of the 16th century Reformers. Its theology dates from a period that is prior to the Tractarian, or high church movement of the nineteenth century.</w:t>
      </w:r>
    </w:p>
    <w:p>
      <w:pPr>
        <w:spacing w:after="160"/>
      </w:pPr>
      <w:r>
        <w:rPr>
          <w:rFonts w:ascii="Arial" w:cs="Arial" w:eastAsia="Arial" w:hAnsi="Arial"/>
          <w:sz w:val="22"/>
          <w:szCs w:val="22"/>
        </w:rPr>
        <w:t xml:space="preserve">The high church tradition in contemporary Anglicanism comes out of the Tractarian Movement, which by and large desired to reject certain aspects of the Reformation for the sake of adopting a practice and aesthetic closer to that of the Roman Catholicism to which it was contemporary. Tractarian churchmanship, with its high doctrine of the church, ministry, and sacraments, also came to embrace a full-scale "ritual revival" of counter-reformation ceremony and ornament.</w:t>
      </w:r>
    </w:p>
    <w:p>
      <w:pPr>
        <w:spacing w:after="160"/>
      </w:pPr>
      <w:r>
        <w:rPr>
          <w:rFonts w:ascii="Arial" w:cs="Arial" w:eastAsia="Arial" w:hAnsi="Arial"/>
          <w:sz w:val="22"/>
          <w:szCs w:val="22"/>
        </w:rPr>
        <w:t xml:space="preserve">Originally mounted as Prayer Book, it soon began to embellish, or even replace altogether, the Prayer Book rites with rites borrowed from the Sarum or Tridentine use. In the post-war period, anglo-catholic liturgists (Dom Gregory Dix et al.) began to reject in great part not only the reformed, but also the medieval and counter-reformation developments of liturgy, and sought to reconstruct liturgy on the basis of hypotheses about ancient and patristic liturgy.</w:t>
      </w:r>
    </w:p>
    <w:p>
      <w:pPr>
        <w:spacing w:after="160"/>
      </w:pPr>
      <w:r>
        <w:rPr>
          <w:rFonts w:ascii="Arial" w:cs="Arial" w:eastAsia="Arial" w:hAnsi="Arial"/>
          <w:sz w:val="22"/>
          <w:szCs w:val="22"/>
        </w:rPr>
        <w:t xml:space="preserve">The Evangelical Movement, also of the nineteenth century, emphasized the supremacy of Scripture and the Thirty-Nine Articles, and was for the most part quite satisfied with the Book of Common Prayer, and in the party warfare of the 19th and early 20th century, usually interpreted it as a touchstone of evangelical doctrine and practice, in opposition to anglo-catholic doctrine and practice.</w:t>
      </w:r>
    </w:p>
    <w:p>
      <w:pPr>
        <w:spacing w:after="160"/>
      </w:pPr>
      <w:r>
        <w:rPr>
          <w:rFonts w:ascii="Arial" w:cs="Arial" w:eastAsia="Arial" w:hAnsi="Arial"/>
          <w:sz w:val="22"/>
          <w:szCs w:val="22"/>
        </w:rPr>
        <w:t xml:space="preserve">It was only in the late 20th century, as evangelicals embraced the "Parish Communion" promoted by the Liturgical Movement, and then the priority of subjective experience promoted by the Charismatic movement, that evangelicals began to have reservations about the Book of Common Prayer.</w:t>
      </w:r>
    </w:p>
    <w:p>
      <w:pPr>
        <w:spacing w:after="160"/>
      </w:pPr>
      <w:r>
        <w:rPr>
          <w:rFonts w:ascii="Arial" w:cs="Arial" w:eastAsia="Arial" w:hAnsi="Arial"/>
          <w:sz w:val="22"/>
          <w:szCs w:val="22"/>
        </w:rPr>
        <w:t xml:space="preserve">Although some evangelicals, including non-Anglicans, have great reservations about the loss of Morning Prayer and Sermon and the "seeker-driven" and charismatic trends in liturgy today, many have embraced them uncritically, and hold ideas about liturgy and church discipline which are quite different from their nineteenth century namesakes.</w:t>
      </w:r>
    </w:p>
    <w:p>
      <w:pPr>
        <w:spacing w:after="160"/>
      </w:pPr>
      <w:r>
        <w:rPr>
          <w:rFonts w:ascii="Arial" w:cs="Arial" w:eastAsia="Arial" w:hAnsi="Arial"/>
          <w:sz w:val="22"/>
          <w:szCs w:val="22"/>
        </w:rPr>
        <w:t xml:space="preserve">Thus the Prayer Book does not belong to Anglo-Catholics or Evangelicals. It is not a party book. This is its strength and value. Anglicanism can accommodate both charismatic worship and anglo-catholic additions as a matter of churchmanship.</w:t>
      </w:r>
    </w:p>
    <w:p>
      <w:pPr>
        <w:spacing w:after="160"/>
      </w:pPr>
      <w:r>
        <w:rPr>
          <w:rFonts w:ascii="Arial" w:cs="Arial" w:eastAsia="Arial" w:hAnsi="Arial"/>
          <w:sz w:val="22"/>
          <w:szCs w:val="22"/>
        </w:rPr>
        <w:t xml:space="preserve">Different parishes have different styles that appeal to different populations, and so long as the dominant theological formation offered in the church has a common basis in the historical teaching of the Anglican Reformation, churchmanship would seem a matter of indifference.</w:t>
      </w:r>
    </w:p>
    <w:p>
      <w:pPr>
        <w:spacing w:after="160"/>
      </w:pPr>
      <w:r>
        <w:rPr>
          <w:rFonts w:ascii="Arial" w:cs="Arial" w:eastAsia="Arial" w:hAnsi="Arial"/>
          <w:sz w:val="22"/>
          <w:szCs w:val="22"/>
        </w:rPr>
        <w:t xml:space="preserve">Attachment to the traditional Book of Common Prayer. is neither high church, nor low. To be a Prayer Book Anglican is to be Anglican, the traditional Book of Common Prayer, in conjunction with the Formularies and Ordinal, is the lodestar for adhering to the Bible, the ancient church, and the Reformation.</w:t>
      </w:r>
    </w:p>
    <w:p>
      <w:pPr>
        <w:spacing w:after="160"/>
      </w:pPr>
      <w:r>
        <w:rPr>
          <w:rFonts w:ascii="Arial" w:cs="Arial" w:eastAsia="Arial" w:hAnsi="Arial"/>
          <w:sz w:val="22"/>
          <w:szCs w:val="22"/>
        </w:rPr>
        <w:t xml:space="preserve">Common Prayer</w:t>
      </w:r>
    </w:p>
    <w:p>
      <w:pPr>
        <w:spacing w:after="160"/>
      </w:pPr>
      <w:r>
        <w:rPr>
          <w:rFonts w:ascii="Arial" w:cs="Arial" w:eastAsia="Arial" w:hAnsi="Arial"/>
          <w:sz w:val="22"/>
          <w:szCs w:val="22"/>
        </w:rPr>
        <w:t xml:space="preserve">People pray extemporaneously on public occasions, whether at the beginning of a meeting or a class, often under the mistaken impression that it is a form of 'common prayer'. Of course, people may want to bring particular concerns before the Lord as part of public devotion, but sitting silently by, while someone else prays a petitionary prayer of their own construction for everyone else (because how can one join in when the person praying is making it up as they go along), is not common prayer.</w:t>
      </w:r>
    </w:p>
    <w:p>
      <w:pPr>
        <w:spacing w:after="160"/>
      </w:pPr>
      <w:r>
        <w:rPr>
          <w:rFonts w:ascii="Arial" w:cs="Arial" w:eastAsia="Arial" w:hAnsi="Arial"/>
          <w:sz w:val="22"/>
          <w:szCs w:val="22"/>
        </w:rPr>
        <w:t xml:space="preserve">The Book of Common Prayer offers real common prayer because all can join in praise to our Lord, saying aloud psalms, passages of scripture, or carefully constructed collects, many of which have been handed down from the early church.</w:t>
      </w:r>
    </w:p>
    <w:p>
      <w:pPr>
        <w:spacing w:after="160"/>
      </w:pPr>
      <w:r>
        <w:rPr>
          <w:rFonts w:ascii="Arial" w:cs="Arial" w:eastAsia="Arial" w:hAnsi="Arial"/>
          <w:sz w:val="22"/>
          <w:szCs w:val="22"/>
        </w:rPr>
        <w:t xml:space="preserve">There are scripturally based prayers to suit most every place and situation. At the very least, one might choose to pray the Lord's Prayer in public, as it is the most commonly known prayer, is petitionary, and has obvious scriptural warrant.</w:t>
      </w:r>
    </w:p>
    <w:p>
      <w:pPr>
        <w:spacing w:after="160"/>
      </w:pPr>
      <w:r>
        <w:rPr>
          <w:rFonts w:ascii="Arial" w:cs="Arial" w:eastAsia="Arial" w:hAnsi="Arial"/>
          <w:sz w:val="22"/>
          <w:szCs w:val="22"/>
        </w:rPr>
        <w:t xml:space="preserve">---- Roberta Bayer Ph.D is Editor of MANDATE magazine, the official organ of the Prayer Book Society. She is also Assistant Professor, Patrick Henry College, Purcellville,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 IS NOT A "PARTY BOOK" - ROBERTA BAYER</dc:title>
  <dc:creator>VirtueOnline Archive</dc:creator>
  <cp:lastModifiedBy>Un-named</cp:lastModifiedBy>
  <cp:revision>1</cp:revision>
  <dcterms:created xsi:type="dcterms:W3CDTF">2026-04-22T11:55:05.922Z</dcterms:created>
  <dcterms:modified xsi:type="dcterms:W3CDTF">2026-04-22T11:55:05.922Z</dcterms:modified>
</cp:coreProperties>
</file>

<file path=docProps/custom.xml><?xml version="1.0" encoding="utf-8"?>
<Properties xmlns="http://schemas.openxmlformats.org/officeDocument/2006/custom-properties" xmlns:vt="http://schemas.openxmlformats.org/officeDocument/2006/docPropsVTypes"/>
</file>