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SUPREME COURT TO CONSIDER CHURCH PROPERTY PETITIONS THIS THURSDAY</w:t>
      </w:r>
    </w:p>
    <w:p>
      <w:pPr>
        <w:pBdr>
          <w:bottom w:val="single" w:color="AAAAAA" w:sz="6"/>
        </w:pBdr>
        <w:spacing w:after="200" w:before="0"/>
      </w:pPr>
    </w:p>
    <w:p>
      <w:pPr>
        <w:spacing w:after="240"/>
      </w:pPr>
      <w:r>
        <w:rPr>
          <w:rFonts w:ascii="Arial" w:cs="Arial" w:eastAsia="Arial" w:hAnsi="Arial"/>
          <w:i/>
          <w:iCs/>
          <w:color w:val="666666"/>
          <w:sz w:val="20"/>
          <w:szCs w:val="20"/>
        </w:rPr>
        <w:t xml:space="preserve">By A.S. HALEY</w:t>
      </w:r>
    </w:p>
    <w:p>
      <w:pPr>
        <w:spacing w:after="160"/>
      </w:pPr>
      <w:r>
        <w:rPr>
          <w:rFonts w:ascii="Arial" w:cs="Arial" w:eastAsia="Arial" w:hAnsi="Arial"/>
          <w:sz w:val="22"/>
          <w:szCs w:val="22"/>
        </w:rPr>
        <w:t xml:space="preserve">THE ANGLICAN CURMUDGEON</w:t>
      </w:r>
    </w:p>
    <w:p>
      <w:pPr>
        <w:spacing w:after="160"/>
      </w:pPr>
      <w:r>
        <w:rPr>
          <w:rFonts w:ascii="Arial" w:cs="Arial" w:eastAsia="Arial" w:hAnsi="Arial"/>
          <w:sz w:val="22"/>
          <w:szCs w:val="22"/>
        </w:rPr>
        <w:t xml:space="preserve">http://accurmudgeon.blogspot.com/2012/06/supreme-court-to-consider-church.html</w:t>
      </w:r>
    </w:p>
    <w:p>
      <w:pPr>
        <w:spacing w:after="160"/>
      </w:pPr>
      <w:r>
        <w:rPr>
          <w:rFonts w:ascii="Arial" w:cs="Arial" w:eastAsia="Arial" w:hAnsi="Arial"/>
          <w:sz w:val="22"/>
          <w:szCs w:val="22"/>
        </w:rPr>
        <w:t xml:space="preserve">June 11, 2012</w:t>
      </w:r>
    </w:p>
    <w:p>
      <w:pPr>
        <w:spacing w:after="160"/>
      </w:pPr>
      <w:r>
        <w:rPr>
          <w:rFonts w:ascii="Arial" w:cs="Arial" w:eastAsia="Arial" w:hAnsi="Arial"/>
          <w:sz w:val="22"/>
          <w:szCs w:val="22"/>
        </w:rPr>
        <w:t xml:space="preserve">One of the most comprehensive blogs to cover the United States Supreme Court is SCOTUS blog, written by former clerks to the Supreme Court justices who are now practicing attorneys. They pride themselves on their ability to cull through the weekly avalanches of petitions for review, and to select out those very few which, in their expert opinion, are likely candidates for acceptance.</w:t>
      </w:r>
    </w:p>
    <w:p>
      <w:pPr>
        <w:spacing w:after="160"/>
      </w:pPr>
      <w:r>
        <w:rPr>
          <w:rFonts w:ascii="Arial" w:cs="Arial" w:eastAsia="Arial" w:hAnsi="Arial"/>
          <w:sz w:val="22"/>
          <w:szCs w:val="22"/>
        </w:rPr>
        <w:t xml:space="preserve">Their post covering the "Petitions to Watch" for the upcoming Supreme Court conference this next Thursday, June 14, is now up. It discusses thirteen of the petitions pending on the Court's calendar and noted as having been circulated for consideration at the June 14 conference.</w:t>
      </w:r>
    </w:p>
    <w:p>
      <w:pPr>
        <w:spacing w:after="160"/>
      </w:pPr>
      <w:r>
        <w:rPr>
          <w:rFonts w:ascii="Arial" w:cs="Arial" w:eastAsia="Arial" w:hAnsi="Arial"/>
          <w:sz w:val="22"/>
          <w:szCs w:val="22"/>
        </w:rPr>
        <w:t xml:space="preserve">It is not possible to get an exact number of all the petitions which the Court will take up next Thursday, but if the list of petitions acted upon at the May 31 conference is any indication (and announced Monday, June 4), then there will be approximately 150 for it to consider. More than half of those will be in forma pauperis petitions, i.e., petitions (often hand-written) submitted by prisoners and others who have no money either to pay an attorney to represent them, or to pay the fees to file a petition with the Court. But at least 50 or so will be petitions with counsel on both sides, formally printed and bound in the manner the Court's rules require.</w:t>
      </w:r>
    </w:p>
    <w:p>
      <w:pPr>
        <w:spacing w:after="160"/>
      </w:pPr>
      <w:r>
        <w:rPr>
          <w:rFonts w:ascii="Arial" w:cs="Arial" w:eastAsia="Arial" w:hAnsi="Arial"/>
          <w:sz w:val="22"/>
          <w:szCs w:val="22"/>
        </w:rPr>
        <w:t xml:space="preserve">Of the petitions presented at the May 31 conference, the orders list discloses that review was granted in only one of the petitions presented (a formal petition; none of the in forma pauperis petitions was granted), and one other petition received a summary ruling, granting review and sending the case back to the lower court for consideration in light of another recent Supreme Court opinion.</w:t>
      </w:r>
    </w:p>
    <w:p>
      <w:pPr>
        <w:spacing w:after="160"/>
      </w:pPr>
      <w:r>
        <w:rPr>
          <w:rFonts w:ascii="Arial" w:cs="Arial" w:eastAsia="Arial" w:hAnsi="Arial"/>
          <w:sz w:val="22"/>
          <w:szCs w:val="22"/>
        </w:rPr>
        <w:t xml:space="preserve">By the same token, the Court published this morning its list of orders with regard to the cases it considered at its June 7 conference last week. One again, only two petitions for review were granted out of the more than three dozen considered, and none of the hundreds of in forma pauperis petitions was granted. However, it should be noted that the SCOTUS blog had listed both of those petitions in its list of petitions to watch for the June 7 conference.</w:t>
      </w:r>
    </w:p>
    <w:p>
      <w:pPr>
        <w:spacing w:after="160"/>
      </w:pPr>
      <w:r>
        <w:rPr>
          <w:rFonts w:ascii="Arial" w:cs="Arial" w:eastAsia="Arial" w:hAnsi="Arial"/>
          <w:sz w:val="22"/>
          <w:szCs w:val="22"/>
        </w:rPr>
        <w:t xml:space="preserve">I recommend that you use the links at this page of the SCOTUS blog to download and review all of the briefs in the two church property cases (scroll down to Nos. 11-1101 (Timberridge) and 11-1139 (Bishop Seabury). They make for some fascinating reading -- especially the amicus briefs, which add points not covered in the main briefs.</w:t>
      </w:r>
    </w:p>
    <w:p>
      <w:pPr>
        <w:spacing w:after="160"/>
      </w:pPr>
      <w:r>
        <w:rPr>
          <w:rFonts w:ascii="Arial" w:cs="Arial" w:eastAsia="Arial" w:hAnsi="Arial"/>
          <w:sz w:val="22"/>
          <w:szCs w:val="22"/>
        </w:rPr>
        <w:t xml:space="preserve">The Episcopal Church (USA)'s responding brief in the Bishop Seabury case [caution: large .pdf download] is an especially noteworthy one, partly for its arrogance in cataloging all of the minor decisions in its favor by inferior courts which have absolutely no weight as precedents, as well as for its egregious misrepresentation of the cases which have gone against it. If I have time, I will have more to say on the briefs before Thursday.</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Gauss v. The Protestant Episcopal Church in the United States of America</w:t>
      </w:r>
    </w:p>
    <w:p>
      <w:pPr>
        <w:spacing w:after="160"/>
      </w:pPr>
      <w:r>
        <w:rPr>
          <w:rFonts w:ascii="Arial" w:cs="Arial" w:eastAsia="Arial" w:hAnsi="Arial"/>
          <w:sz w:val="22"/>
          <w:szCs w:val="22"/>
        </w:rPr>
        <w:t xml:space="preserve">Docket: 11-1139 Issue(s): Whether the First Amendment, as interpreted by this Court in Jones v. Wolf, requires state civil courts to enforce an alleged trust imposed on local church property by provisions in denominational documents, regardless of whether those provisions would be legally cognizable under generally applicable rules of state property and trust law.</w:t>
      </w:r>
    </w:p>
    <w:p>
      <w:pPr>
        <w:spacing w:after="160"/>
      </w:pPr>
      <w:r>
        <w:rPr>
          <w:rFonts w:ascii="Arial" w:cs="Arial" w:eastAsia="Arial" w:hAnsi="Arial"/>
          <w:sz w:val="22"/>
          <w:szCs w:val="22"/>
        </w:rPr>
        <w:t xml:space="preserve">Certiorari stage documents:</w:t>
      </w:r>
    </w:p>
    <w:p>
      <w:pPr>
        <w:spacing w:after="160"/>
      </w:pPr>
      <w:r>
        <w:rPr>
          <w:rFonts w:ascii="Arial" w:cs="Arial" w:eastAsia="Arial" w:hAnsi="Arial"/>
          <w:sz w:val="22"/>
          <w:szCs w:val="22"/>
        </w:rPr>
        <w:t xml:space="preserve">Opinion below (Conn.) Petition for certiorari Brief in opposition Amicus brief of Becket Fund for Religious Liberty Amicus brief of Anglican Church in North America et al. Motion for leave to file and amicus brief of St. James Anglican Church et al. Reply of petitioners</w:t>
      </w:r>
    </w:p>
    <w:p>
      <w:pPr>
        <w:spacing w:after="160"/>
      </w:pPr>
      <w:r>
        <w:rPr>
          <w:rFonts w:ascii="Arial" w:cs="Arial" w:eastAsia="Arial" w:hAnsi="Arial"/>
          <w:sz w:val="22"/>
          <w:szCs w:val="22"/>
        </w:rPr>
        <w:t xml:space="preserve">------------------------</w:t>
      </w:r>
    </w:p>
    <w:p>
      <w:pPr>
        <w:spacing w:after="160"/>
      </w:pPr>
      <w:r>
        <w:rPr>
          <w:rFonts w:ascii="Arial" w:cs="Arial" w:eastAsia="Arial" w:hAnsi="Arial"/>
          <w:sz w:val="22"/>
          <w:szCs w:val="22"/>
        </w:rPr>
        <w:t xml:space="preserve">Timberridge Presbyterian Church, Inc. v. Presbytery of Greater Atlanta, Inc.</w:t>
      </w:r>
    </w:p>
    <w:p>
      <w:pPr>
        <w:spacing w:after="160"/>
      </w:pPr>
      <w:r>
        <w:rPr>
          <w:rFonts w:ascii="Arial" w:cs="Arial" w:eastAsia="Arial" w:hAnsi="Arial"/>
          <w:sz w:val="22"/>
          <w:szCs w:val="22"/>
        </w:rPr>
        <w:t xml:space="preserve">Docket: 11-1101 Issue(s): Whether the "neutral principles" doctrine embodied in the Religion Clauses of the First Amendment permits imposition of a trust on church property when the creation of that trust violates the state's property and trust laws.</w:t>
      </w:r>
    </w:p>
    <w:p>
      <w:pPr>
        <w:spacing w:after="160"/>
      </w:pPr>
      <w:r>
        <w:rPr>
          <w:rFonts w:ascii="Arial" w:cs="Arial" w:eastAsia="Arial" w:hAnsi="Arial"/>
          <w:sz w:val="22"/>
          <w:szCs w:val="22"/>
        </w:rPr>
        <w:t xml:space="preserve">Certiorari stage documents:</w:t>
      </w:r>
    </w:p>
    <w:p>
      <w:pPr>
        <w:spacing w:after="160"/>
      </w:pPr>
      <w:r>
        <w:rPr>
          <w:rFonts w:ascii="Arial" w:cs="Arial" w:eastAsia="Arial" w:hAnsi="Arial"/>
          <w:sz w:val="22"/>
          <w:szCs w:val="22"/>
        </w:rPr>
        <w:t xml:space="preserve">Opinion below (Ga. S. Ct.) Petition for certiorari Brief in opposition Amicus brief of Presbyterian Lay Committee Amicus brief of Becket Fund for Religious Liberty Reply of petitioners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SUPREME COURT TO CONSIDER CHURCH PROPERTY PETITIONS THIS THURSDAY</dc:title>
  <dc:creator>VirtueOnline Archive</dc:creator>
  <cp:lastModifiedBy>Un-named</cp:lastModifiedBy>
  <cp:revision>1</cp:revision>
  <dcterms:created xsi:type="dcterms:W3CDTF">2026-04-22T11:55:39.268Z</dcterms:created>
  <dcterms:modified xsi:type="dcterms:W3CDTF">2026-04-22T11:55:39.268Z</dcterms:modified>
</cp:coreProperties>
</file>

<file path=docProps/custom.xml><?xml version="1.0" encoding="utf-8"?>
<Properties xmlns="http://schemas.openxmlformats.org/officeDocument/2006/custom-properties" xmlns:vt="http://schemas.openxmlformats.org/officeDocument/2006/docPropsVTypes"/>
</file>