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SAME-SEX ATTRACTED PERSONS IN THE CHURCH: ORTHODOXY AND PASTORAL RESPONSES</w:t>
      </w:r>
    </w:p>
    <w:p>
      <w:pPr>
        <w:pBdr>
          <w:bottom w:val="single" w:color="AAAAAA" w:sz="6"/>
        </w:pBdr>
        <w:spacing w:after="200" w:before="0"/>
      </w:pPr>
    </w:p>
    <w:p>
      <w:pPr>
        <w:spacing w:after="160"/>
      </w:pPr>
      <w:r>
        <w:rPr>
          <w:rFonts w:ascii="Arial" w:cs="Arial" w:eastAsia="Arial" w:hAnsi="Arial"/>
          <w:sz w:val="22"/>
          <w:szCs w:val="22"/>
        </w:rPr>
        <w:t xml:space="preserve">Anglican Mainstream Marriage, Sex &amp; Culture Group Briefing Paper</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September 3rd, 2012</w:t>
      </w:r>
    </w:p>
    <w:p>
      <w:pPr>
        <w:spacing w:after="160"/>
      </w:pPr>
      <w:r>
        <w:rPr>
          <w:rFonts w:ascii="Arial" w:cs="Arial" w:eastAsia="Arial" w:hAnsi="Arial"/>
          <w:sz w:val="22"/>
          <w:szCs w:val="22"/>
        </w:rPr>
        <w:t xml:space="preserve">This briefing paper was prepared as part of the process of putting together Anglican Mainstream's submission to the House of Bishops' Consultation on Human Sexuality. It was written by R. S. Harris, to whom we express our deep gratitude.</w:t>
      </w:r>
    </w:p>
    <w:p>
      <w:pPr>
        <w:spacing w:after="160"/>
      </w:pPr>
      <w:r>
        <w:rPr>
          <w:rFonts w:ascii="Arial" w:cs="Arial" w:eastAsia="Arial" w:hAnsi="Arial"/>
          <w:sz w:val="22"/>
          <w:szCs w:val="22"/>
        </w:rPr>
        <w:t xml:space="preserve">CONTENTS</w:t>
      </w:r>
    </w:p>
    <w:p>
      <w:pPr>
        <w:spacing w:after="160"/>
      </w:pPr>
      <w:r>
        <w:rPr>
          <w:rFonts w:ascii="Arial" w:cs="Arial" w:eastAsia="Arial" w:hAnsi="Arial"/>
          <w:sz w:val="22"/>
          <w:szCs w:val="22"/>
        </w:rPr>
        <w:t xml:space="preserve">1. Preliminary Considerations: Terminology p4</w:t>
      </w:r>
    </w:p>
    <w:p>
      <w:pPr>
        <w:spacing w:after="160"/>
      </w:pPr>
      <w:r>
        <w:rPr>
          <w:rFonts w:ascii="Arial" w:cs="Arial" w:eastAsia="Arial" w:hAnsi="Arial"/>
          <w:sz w:val="22"/>
          <w:szCs w:val="22"/>
        </w:rPr>
        <w:t xml:space="preserve">* 'Human Sexuality'</w:t>
      </w:r>
    </w:p>
    <w:p>
      <w:pPr>
        <w:spacing w:after="160"/>
      </w:pPr>
      <w:r>
        <w:rPr>
          <w:rFonts w:ascii="Arial" w:cs="Arial" w:eastAsia="Arial" w:hAnsi="Arial"/>
          <w:sz w:val="22"/>
          <w:szCs w:val="22"/>
        </w:rPr>
        <w:t xml:space="preserve">* "Anti-gay" and "Pro-gay</w:t>
      </w:r>
    </w:p>
    <w:p>
      <w:pPr>
        <w:spacing w:after="160"/>
      </w:pPr>
      <w:r>
        <w:rPr>
          <w:rFonts w:ascii="Arial" w:cs="Arial" w:eastAsia="Arial" w:hAnsi="Arial"/>
          <w:sz w:val="22"/>
          <w:szCs w:val="22"/>
        </w:rPr>
        <w:t xml:space="preserve">2. Objectives p9</w:t>
      </w:r>
    </w:p>
    <w:p>
      <w:pPr>
        <w:spacing w:after="160"/>
      </w:pPr>
      <w:r>
        <w:rPr>
          <w:rFonts w:ascii="Arial" w:cs="Arial" w:eastAsia="Arial" w:hAnsi="Arial"/>
          <w:sz w:val="22"/>
          <w:szCs w:val="22"/>
        </w:rPr>
        <w:t xml:space="preserve">3. Challenges Facing the Church p11</w:t>
      </w:r>
    </w:p>
    <w:p>
      <w:pPr>
        <w:spacing w:after="160"/>
      </w:pPr>
      <w:r>
        <w:rPr>
          <w:rFonts w:ascii="Arial" w:cs="Arial" w:eastAsia="Arial" w:hAnsi="Arial"/>
          <w:sz w:val="22"/>
          <w:szCs w:val="22"/>
        </w:rPr>
        <w:t xml:space="preserve">* A Broad Church</w:t>
      </w:r>
    </w:p>
    <w:p>
      <w:pPr>
        <w:spacing w:after="160"/>
      </w:pPr>
      <w:r>
        <w:rPr>
          <w:rFonts w:ascii="Arial" w:cs="Arial" w:eastAsia="Arial" w:hAnsi="Arial"/>
          <w:sz w:val="22"/>
          <w:szCs w:val="22"/>
        </w:rPr>
        <w:t xml:space="preserve">* Non-Judgmentalism vs Exercising Moral Judgments</w:t>
      </w:r>
    </w:p>
    <w:p>
      <w:pPr>
        <w:spacing w:after="160"/>
      </w:pPr>
      <w:r>
        <w:rPr>
          <w:rFonts w:ascii="Arial" w:cs="Arial" w:eastAsia="Arial" w:hAnsi="Arial"/>
          <w:sz w:val="22"/>
          <w:szCs w:val="22"/>
        </w:rPr>
        <w:t xml:space="preserve">* The Role of Scripture and the Practice of Listening</w:t>
      </w:r>
    </w:p>
    <w:p>
      <w:pPr>
        <w:spacing w:after="160"/>
      </w:pPr>
      <w:r>
        <w:rPr>
          <w:rFonts w:ascii="Arial" w:cs="Arial" w:eastAsia="Arial" w:hAnsi="Arial"/>
          <w:sz w:val="22"/>
          <w:szCs w:val="22"/>
        </w:rPr>
        <w:t xml:space="preserve">* General Pastoral Concerns of People with SSA</w:t>
      </w:r>
    </w:p>
    <w:p>
      <w:pPr>
        <w:spacing w:after="160"/>
      </w:pPr>
      <w:r>
        <w:rPr>
          <w:rFonts w:ascii="Arial" w:cs="Arial" w:eastAsia="Arial" w:hAnsi="Arial"/>
          <w:sz w:val="22"/>
          <w:szCs w:val="22"/>
        </w:rPr>
        <w:t xml:space="preserve">4. Identity and Self-Labelling p21</w:t>
      </w:r>
    </w:p>
    <w:p>
      <w:pPr>
        <w:spacing w:after="160"/>
      </w:pPr>
      <w:r>
        <w:rPr>
          <w:rFonts w:ascii="Arial" w:cs="Arial" w:eastAsia="Arial" w:hAnsi="Arial"/>
          <w:sz w:val="22"/>
          <w:szCs w:val="22"/>
        </w:rPr>
        <w:t xml:space="preserve">* Questions concerning 'Sexual Orientation'</w:t>
      </w:r>
    </w:p>
    <w:p>
      <w:pPr>
        <w:spacing w:after="160"/>
      </w:pPr>
      <w:r>
        <w:rPr>
          <w:rFonts w:ascii="Arial" w:cs="Arial" w:eastAsia="Arial" w:hAnsi="Arial"/>
          <w:sz w:val="22"/>
          <w:szCs w:val="22"/>
        </w:rPr>
        <w:t xml:space="preserve">* The 'Homosexual' Label</w:t>
      </w:r>
    </w:p>
    <w:p>
      <w:pPr>
        <w:spacing w:after="160"/>
      </w:pPr>
      <w:r>
        <w:rPr>
          <w:rFonts w:ascii="Arial" w:cs="Arial" w:eastAsia="Arial" w:hAnsi="Arial"/>
          <w:sz w:val="22"/>
          <w:szCs w:val="22"/>
        </w:rPr>
        <w:t xml:space="preserve">* The 'Gay' Label and its Associations</w:t>
      </w:r>
    </w:p>
    <w:p>
      <w:pPr>
        <w:spacing w:after="160"/>
      </w:pPr>
      <w:r>
        <w:rPr>
          <w:rFonts w:ascii="Arial" w:cs="Arial" w:eastAsia="Arial" w:hAnsi="Arial"/>
          <w:sz w:val="22"/>
          <w:szCs w:val="22"/>
        </w:rPr>
        <w:t xml:space="preserve">5. The Question of Christian Identity p27</w:t>
      </w:r>
    </w:p>
    <w:p>
      <w:pPr>
        <w:spacing w:after="160"/>
      </w:pPr>
      <w:r>
        <w:rPr>
          <w:rFonts w:ascii="Arial" w:cs="Arial" w:eastAsia="Arial" w:hAnsi="Arial"/>
          <w:sz w:val="22"/>
          <w:szCs w:val="22"/>
        </w:rPr>
        <w:t xml:space="preserve">* General Issues</w:t>
      </w:r>
    </w:p>
    <w:p>
      <w:pPr>
        <w:spacing w:after="160"/>
      </w:pPr>
      <w:r>
        <w:rPr>
          <w:rFonts w:ascii="Arial" w:cs="Arial" w:eastAsia="Arial" w:hAnsi="Arial"/>
          <w:sz w:val="22"/>
          <w:szCs w:val="22"/>
        </w:rPr>
        <w:t xml:space="preserve">* The Biblical Concept of Identity</w:t>
      </w:r>
    </w:p>
    <w:p>
      <w:pPr>
        <w:spacing w:after="160"/>
      </w:pPr>
      <w:r>
        <w:rPr>
          <w:rFonts w:ascii="Arial" w:cs="Arial" w:eastAsia="Arial" w:hAnsi="Arial"/>
          <w:sz w:val="22"/>
          <w:szCs w:val="22"/>
        </w:rPr>
        <w:t xml:space="preserve">6. The Needs of Laity and Questions of Pastoral Support p33</w:t>
      </w:r>
    </w:p>
    <w:p>
      <w:pPr>
        <w:spacing w:after="160"/>
      </w:pPr>
      <w:r>
        <w:rPr>
          <w:rFonts w:ascii="Arial" w:cs="Arial" w:eastAsia="Arial" w:hAnsi="Arial"/>
          <w:sz w:val="22"/>
          <w:szCs w:val="22"/>
        </w:rPr>
        <w:t xml:space="preserve">* Lambeth Resolution 1.10, 1998</w:t>
      </w:r>
    </w:p>
    <w:p>
      <w:pPr>
        <w:spacing w:after="160"/>
      </w:pPr>
      <w:r>
        <w:rPr>
          <w:rFonts w:ascii="Arial" w:cs="Arial" w:eastAsia="Arial" w:hAnsi="Arial"/>
          <w:sz w:val="22"/>
          <w:szCs w:val="22"/>
        </w:rPr>
        <w:t xml:space="preserve">* Accountability</w:t>
      </w:r>
    </w:p>
    <w:p>
      <w:pPr>
        <w:spacing w:after="160"/>
      </w:pPr>
      <w:r>
        <w:rPr>
          <w:rFonts w:ascii="Arial" w:cs="Arial" w:eastAsia="Arial" w:hAnsi="Arial"/>
          <w:sz w:val="22"/>
          <w:szCs w:val="22"/>
        </w:rPr>
        <w:t xml:space="preserve">* Broad Pastoral Concerns</w:t>
      </w:r>
    </w:p>
    <w:p>
      <w:pPr>
        <w:spacing w:after="160"/>
      </w:pPr>
      <w:r>
        <w:rPr>
          <w:rFonts w:ascii="Arial" w:cs="Arial" w:eastAsia="Arial" w:hAnsi="Arial"/>
          <w:sz w:val="22"/>
          <w:szCs w:val="22"/>
        </w:rPr>
        <w:t xml:space="preserve">7. The Place of Scripture, Tradition and Reason in Matters of Sexuality p39</w:t>
      </w:r>
    </w:p>
    <w:p>
      <w:pPr>
        <w:spacing w:after="160"/>
      </w:pPr>
      <w:r>
        <w:rPr>
          <w:rFonts w:ascii="Arial" w:cs="Arial" w:eastAsia="Arial" w:hAnsi="Arial"/>
          <w:sz w:val="22"/>
          <w:szCs w:val="22"/>
        </w:rPr>
        <w:t xml:space="preserve">* Heterosexual Marriage as the Biblical Model for Expressions of Sexual Activity</w:t>
      </w:r>
    </w:p>
    <w:p>
      <w:pPr>
        <w:spacing w:after="160"/>
      </w:pPr>
      <w:r>
        <w:rPr>
          <w:rFonts w:ascii="Arial" w:cs="Arial" w:eastAsia="Arial" w:hAnsi="Arial"/>
          <w:sz w:val="22"/>
          <w:szCs w:val="22"/>
        </w:rPr>
        <w:t xml:space="preserve">* The Jewish Historical Context * Aspects of Church Tradition</w:t>
      </w:r>
    </w:p>
    <w:p>
      <w:pPr>
        <w:spacing w:after="160"/>
      </w:pPr>
      <w:r>
        <w:rPr>
          <w:rFonts w:ascii="Arial" w:cs="Arial" w:eastAsia="Arial" w:hAnsi="Arial"/>
          <w:sz w:val="22"/>
          <w:szCs w:val="22"/>
        </w:rPr>
        <w:t xml:space="preserve">* Antinomian in Jude: The Question of Moral Authority</w:t>
      </w:r>
    </w:p>
    <w:p>
      <w:pPr>
        <w:spacing w:after="160"/>
      </w:pPr>
      <w:r>
        <w:rPr>
          <w:rFonts w:ascii="Arial" w:cs="Arial" w:eastAsia="Arial" w:hAnsi="Arial"/>
          <w:sz w:val="22"/>
          <w:szCs w:val="22"/>
        </w:rPr>
        <w:t xml:space="preserve">* The Church Fathers</w:t>
      </w:r>
    </w:p>
    <w:p>
      <w:pPr>
        <w:spacing w:after="160"/>
      </w:pPr>
      <w:r>
        <w:rPr>
          <w:rFonts w:ascii="Arial" w:cs="Arial" w:eastAsia="Arial" w:hAnsi="Arial"/>
          <w:sz w:val="22"/>
          <w:szCs w:val="22"/>
        </w:rPr>
        <w:t xml:space="preserve">* Reason</w:t>
      </w:r>
    </w:p>
    <w:p>
      <w:pPr>
        <w:spacing w:after="160"/>
      </w:pPr>
      <w:r>
        <w:rPr>
          <w:rFonts w:ascii="Arial" w:cs="Arial" w:eastAsia="Arial" w:hAnsi="Arial"/>
          <w:sz w:val="22"/>
          <w:szCs w:val="22"/>
        </w:rPr>
        <w:t xml:space="preserve">8. The Witness of Testimony p54</w:t>
      </w:r>
    </w:p>
    <w:p>
      <w:pPr>
        <w:spacing w:after="160"/>
      </w:pPr>
      <w:r>
        <w:rPr>
          <w:rFonts w:ascii="Arial" w:cs="Arial" w:eastAsia="Arial" w:hAnsi="Arial"/>
          <w:sz w:val="22"/>
          <w:szCs w:val="22"/>
        </w:rPr>
        <w:t xml:space="preserve">9. Questions of Celibacy and Change p60</w:t>
      </w:r>
    </w:p>
    <w:p>
      <w:pPr>
        <w:spacing w:after="160"/>
      </w:pPr>
      <w:r>
        <w:rPr>
          <w:rFonts w:ascii="Arial" w:cs="Arial" w:eastAsia="Arial" w:hAnsi="Arial"/>
          <w:sz w:val="22"/>
          <w:szCs w:val="22"/>
        </w:rPr>
        <w:t xml:space="preserve">* Celibacy</w:t>
      </w:r>
    </w:p>
    <w:p>
      <w:pPr>
        <w:spacing w:after="160"/>
      </w:pPr>
      <w:r>
        <w:rPr>
          <w:rFonts w:ascii="Arial" w:cs="Arial" w:eastAsia="Arial" w:hAnsi="Arial"/>
          <w:sz w:val="22"/>
          <w:szCs w:val="22"/>
        </w:rPr>
        <w:t xml:space="preserve">* Beyond Celibacy</w:t>
      </w:r>
    </w:p>
    <w:p>
      <w:pPr>
        <w:spacing w:after="160"/>
      </w:pPr>
      <w:r>
        <w:rPr>
          <w:rFonts w:ascii="Arial" w:cs="Arial" w:eastAsia="Arial" w:hAnsi="Arial"/>
          <w:sz w:val="22"/>
          <w:szCs w:val="22"/>
        </w:rPr>
        <w:t xml:space="preserve">* Robert Spitzer's Study</w:t>
      </w:r>
    </w:p>
    <w:p>
      <w:pPr>
        <w:spacing w:after="160"/>
      </w:pPr>
      <w:r>
        <w:rPr>
          <w:rFonts w:ascii="Arial" w:cs="Arial" w:eastAsia="Arial" w:hAnsi="Arial"/>
          <w:sz w:val="22"/>
          <w:szCs w:val="22"/>
        </w:rPr>
        <w:t xml:space="preserve">* Jones and Yarhouse</w:t>
      </w:r>
    </w:p>
    <w:p>
      <w:pPr>
        <w:spacing w:after="160"/>
      </w:pPr>
      <w:r>
        <w:rPr>
          <w:rFonts w:ascii="Arial" w:cs="Arial" w:eastAsia="Arial" w:hAnsi="Arial"/>
          <w:sz w:val="22"/>
          <w:szCs w:val="22"/>
        </w:rPr>
        <w:t xml:space="preserve">* Questions of Harm</w:t>
      </w:r>
    </w:p>
    <w:p>
      <w:pPr>
        <w:spacing w:after="160"/>
      </w:pPr>
      <w:r>
        <w:rPr>
          <w:rFonts w:ascii="Arial" w:cs="Arial" w:eastAsia="Arial" w:hAnsi="Arial"/>
          <w:sz w:val="22"/>
          <w:szCs w:val="22"/>
        </w:rPr>
        <w:t xml:space="preserve">* The Question of Predisposition and Moral Agency</w:t>
      </w:r>
    </w:p>
    <w:p>
      <w:pPr>
        <w:spacing w:after="160"/>
      </w:pPr>
      <w:r>
        <w:rPr>
          <w:rFonts w:ascii="Arial" w:cs="Arial" w:eastAsia="Arial" w:hAnsi="Arial"/>
          <w:sz w:val="22"/>
          <w:szCs w:val="22"/>
        </w:rPr>
        <w:t xml:space="preserve">10. Ministries Already Offering Support p79</w:t>
      </w:r>
    </w:p>
    <w:p>
      <w:pPr>
        <w:spacing w:after="160"/>
      </w:pPr>
      <w:r>
        <w:rPr>
          <w:rFonts w:ascii="Arial" w:cs="Arial" w:eastAsia="Arial" w:hAnsi="Arial"/>
          <w:sz w:val="22"/>
          <w:szCs w:val="22"/>
        </w:rPr>
        <w:t xml:space="preserve">* True Freedom Trust</w:t>
      </w:r>
    </w:p>
    <w:p>
      <w:pPr>
        <w:spacing w:after="160"/>
      </w:pPr>
      <w:r>
        <w:rPr>
          <w:rFonts w:ascii="Arial" w:cs="Arial" w:eastAsia="Arial" w:hAnsi="Arial"/>
          <w:sz w:val="22"/>
          <w:szCs w:val="22"/>
        </w:rPr>
        <w:t xml:space="preserve">* Core Issues Trust</w:t>
      </w:r>
    </w:p>
    <w:p>
      <w:pPr>
        <w:spacing w:after="160"/>
      </w:pPr>
      <w:r>
        <w:rPr>
          <w:rFonts w:ascii="Arial" w:cs="Arial" w:eastAsia="Arial" w:hAnsi="Arial"/>
          <w:sz w:val="22"/>
          <w:szCs w:val="22"/>
        </w:rPr>
        <w:t xml:space="preserve">* Living Waters</w:t>
      </w:r>
    </w:p>
    <w:p>
      <w:pPr>
        <w:spacing w:after="160"/>
      </w:pPr>
      <w:r>
        <w:rPr>
          <w:rFonts w:ascii="Arial" w:cs="Arial" w:eastAsia="Arial" w:hAnsi="Arial"/>
          <w:sz w:val="22"/>
          <w:szCs w:val="22"/>
        </w:rPr>
        <w:t xml:space="preserve">* Courage</w:t>
      </w:r>
    </w:p>
    <w:p>
      <w:pPr>
        <w:spacing w:after="160"/>
      </w:pPr>
      <w:r>
        <w:rPr>
          <w:rFonts w:ascii="Arial" w:cs="Arial" w:eastAsia="Arial" w:hAnsi="Arial"/>
          <w:sz w:val="22"/>
          <w:szCs w:val="22"/>
        </w:rPr>
        <w:t xml:space="preserve">11. Summary and Conclusions p81</w:t>
      </w:r>
    </w:p>
    <w:p>
      <w:pPr>
        <w:spacing w:after="160"/>
      </w:pPr>
      <w:r>
        <w:rPr>
          <w:rFonts w:ascii="Arial" w:cs="Arial" w:eastAsia="Arial" w:hAnsi="Arial"/>
          <w:sz w:val="22"/>
          <w:szCs w:val="22"/>
        </w:rPr>
        <w:t xml:space="preserve">12. Recommendations p83</w:t>
      </w:r>
    </w:p>
    <w:p>
      <w:pPr>
        <w:spacing w:after="160"/>
      </w:pPr>
      <w:r>
        <w:rPr>
          <w:rFonts w:ascii="Arial" w:cs="Arial" w:eastAsia="Arial" w:hAnsi="Arial"/>
          <w:sz w:val="22"/>
          <w:szCs w:val="22"/>
        </w:rPr>
        <w:t xml:space="preserve">13. Bibliography</w:t>
      </w:r>
    </w:p>
    <w:p>
      <w:pPr>
        <w:spacing w:after="160"/>
      </w:pPr>
      <w:r>
        <w:rPr>
          <w:rFonts w:ascii="Arial" w:cs="Arial" w:eastAsia="Arial" w:hAnsi="Arial"/>
          <w:sz w:val="22"/>
          <w:szCs w:val="22"/>
        </w:rPr>
        <w:t xml:space="preserve">Read or download the full paper as a PDF at:</w:t>
      </w:r>
    </w:p>
    <w:p>
      <w:pPr>
        <w:spacing w:after="160"/>
      </w:pPr>
      <w:r>
        <w:rPr>
          <w:rFonts w:ascii="Arial" w:cs="Arial" w:eastAsia="Arial" w:hAnsi="Arial"/>
          <w:sz w:val="22"/>
          <w:szCs w:val="22"/>
        </w:rPr>
        <w:t xml:space="preserve">http://www.anglican-mainstream.net/wp-content/uploads/Same%20sex%20attracted%20persons%20in%20the%20Church.pdf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SAME-SEX ATTRACTED PERSONS IN THE CHURCH: ORTHODOXY AND PASTORAL RESPONSES</dc:title>
  <dc:creator>VirtueOnline Archive</dc:creator>
  <cp:lastModifiedBy>Un-named</cp:lastModifiedBy>
  <cp:revision>1</cp:revision>
  <dcterms:created xsi:type="dcterms:W3CDTF">2026-04-22T11:55:41.459Z</dcterms:created>
  <dcterms:modified xsi:type="dcterms:W3CDTF">2026-04-22T11:55:41.459Z</dcterms:modified>
</cp:coreProperties>
</file>

<file path=docProps/custom.xml><?xml version="1.0" encoding="utf-8"?>
<Properties xmlns="http://schemas.openxmlformats.org/officeDocument/2006/custom-properties" xmlns:vt="http://schemas.openxmlformats.org/officeDocument/2006/docPropsVTypes"/>
</file>