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FILES WRIT OF CERTIORARI WITH SCOTUS, JOINS SEABURY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25, 2012</w:t>
      </w:r>
    </w:p>
    <w:p>
      <w:pPr>
        <w:spacing w:after="160"/>
      </w:pPr>
      <w:r>
        <w:rPr>
          <w:rFonts w:ascii="Arial" w:cs="Arial" w:eastAsia="Arial" w:hAnsi="Arial"/>
          <w:sz w:val="22"/>
          <w:szCs w:val="22"/>
        </w:rPr>
        <w:t xml:space="preserve">The congregation of Christ Church, Savannah, the evangelical parish and pulpit of the Wesley Brothers, has filed a writ of certiorari with SCOTUS, joining Bishop Seabury of Groton, CT, and Timberridge Presbyterian in McDonough, GA.</w:t>
      </w:r>
    </w:p>
    <w:p>
      <w:pPr>
        <w:spacing w:after="160"/>
      </w:pPr>
      <w:r>
        <w:rPr>
          <w:rFonts w:ascii="Arial" w:cs="Arial" w:eastAsia="Arial" w:hAnsi="Arial"/>
          <w:sz w:val="22"/>
          <w:szCs w:val="22"/>
        </w:rPr>
        <w:t xml:space="preserve">(A writ of certiorari is an order a higher court issues in order to review the decision and proceedings in a lower court and determine whether there were any irregularities. Certiorari is the common method for cases to be heard before the U.S. Supreme Court since it has specific jurisdiction over a very limited range of disputes.)</w:t>
      </w:r>
    </w:p>
    <w:p>
      <w:pPr>
        <w:spacing w:after="160"/>
      </w:pPr>
      <w:r>
        <w:rPr>
          <w:rFonts w:ascii="Arial" w:cs="Arial" w:eastAsia="Arial" w:hAnsi="Arial"/>
          <w:sz w:val="22"/>
          <w:szCs w:val="22"/>
        </w:rPr>
        <w:t xml:space="preserve">The orthodox parish lost in a battle to keep its property following a Georgia Supreme Court ruled that the Episcopal Church and not the Congregation of Christ Church owned the building where they have been worshiping since their split from the diocese in 2007.  The parish has since been worshiping at an Independent Presbyterian Church.</w:t>
      </w:r>
    </w:p>
    <w:p>
      <w:pPr>
        <w:spacing w:after="160"/>
      </w:pPr>
      <w:r>
        <w:rPr>
          <w:rFonts w:ascii="Arial" w:cs="Arial" w:eastAsia="Arial" w:hAnsi="Arial"/>
          <w:sz w:val="22"/>
          <w:szCs w:val="22"/>
        </w:rPr>
        <w:t xml:space="preserve">A spokesperson for the parish said the question presented in their writ states: "Whether a trust allegedly imposed on local church property by provisions in denominational documents must be treated as legally cognizable under the "neutral principles" doctrine of JONES v. WOLF, 443U.S. 595(1979), and the First Amendment, even where such provisions do not satisfy generally applicable rules of state property and trust law."</w:t>
      </w:r>
    </w:p>
    <w:p>
      <w:pPr>
        <w:spacing w:after="160"/>
      </w:pPr>
      <w:r>
        <w:rPr>
          <w:rFonts w:ascii="Arial" w:cs="Arial" w:eastAsia="Arial" w:hAnsi="Arial"/>
          <w:sz w:val="22"/>
          <w:szCs w:val="22"/>
        </w:rPr>
        <w:t xml:space="preserve">The writ further states: "'Neutral principles' are supposed to entail a straightforward analysis of familiar concepts of secular property and trust law. Due to the uncertainty in current law, however, neither local churches nor denominations can predict how courts will determine ownership. As a result, they must spend precious resources--resources that both sides would prefer to devote to mission--on costly litigation.</w:t>
      </w:r>
    </w:p>
    <w:p>
      <w:pPr>
        <w:spacing w:after="160"/>
      </w:pPr>
      <w:r>
        <w:rPr>
          <w:rFonts w:ascii="Arial" w:cs="Arial" w:eastAsia="Arial" w:hAnsi="Arial"/>
          <w:sz w:val="22"/>
          <w:szCs w:val="22"/>
        </w:rPr>
        <w:t xml:space="preserve">Moreover, the uncertainty affects third parties--e.g., lenders, buyers, and tort claimants--who cannot begin to ascertain who owns church property without looking beyond publicly recorded documents and examining often-arcane denominational rules. Finally, the uncertainty discourages local churches from acting in accordance with conscience concerning whether to change denominational affiliations, or even from affiliating with denominations in the first place--to the detriment of religious choice."</w:t>
      </w:r>
    </w:p>
    <w:p>
      <w:pPr>
        <w:spacing w:after="160"/>
      </w:pPr>
      <w:r>
        <w:rPr>
          <w:rFonts w:ascii="Arial" w:cs="Arial" w:eastAsia="Arial" w:hAnsi="Arial"/>
          <w:sz w:val="22"/>
          <w:szCs w:val="22"/>
        </w:rPr>
        <w:t xml:space="preserve">The JURISDICTION clause in the writ reads:</w:t>
      </w:r>
    </w:p>
    <w:p>
      <w:pPr>
        <w:spacing w:after="160"/>
      </w:pPr>
      <w:r>
        <w:rPr>
          <w:rFonts w:ascii="Arial" w:cs="Arial" w:eastAsia="Arial" w:hAnsi="Arial"/>
          <w:sz w:val="22"/>
          <w:szCs w:val="22"/>
        </w:rPr>
        <w:t xml:space="preserve">"The Supreme Court of Georgia entered judgment on November 11, 2011. .............Although the case has been remanded to the trial court (for further proceedings on claims against the individual petitioners and control of the corporate entity in light of the decision below), 'the federal issue'--the First Amendment question presented here--has been 'finally decided' by the highest Court in the State,' and 'will survive and require decision regardless of the outcome of future state court proceedings.'"....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Savannah, Bishop Seabury File for Review in Supreme Court</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http://accurmudgeon.blogspot.com/2012/03/christ-church-savannah-bishop-seabury.html</w:t>
      </w:r>
    </w:p>
    <w:p>
      <w:pPr>
        <w:spacing w:after="160"/>
      </w:pPr>
      <w:r>
        <w:rPr>
          <w:rFonts w:ascii="Arial" w:cs="Arial" w:eastAsia="Arial" w:hAnsi="Arial"/>
          <w:sz w:val="22"/>
          <w:szCs w:val="22"/>
        </w:rPr>
        <w:t xml:space="preserve">March 23, 2012</w:t>
      </w:r>
    </w:p>
    <w:p>
      <w:pPr>
        <w:spacing w:after="160"/>
      </w:pPr>
      <w:r>
        <w:rPr>
          <w:rFonts w:ascii="Arial" w:cs="Arial" w:eastAsia="Arial" w:hAnsi="Arial"/>
          <w:sz w:val="22"/>
          <w:szCs w:val="22"/>
        </w:rPr>
        <w:t xml:space="preserve">In a well-coordinated move, Christ Church in Savannah, Georgia and Bishop Seabury Church in Groton, Connecticut have each filed a petition for review of the decisions in their respective cases by the United States Supreme Court. (More on the Christ Church filing is here.) They thus join Timberridge Presbytery of Atlanta in asking the high court to correct the wretched excesses wrought by ECUSA and PCUSA as a result of Justice Blackmun's fatuous dictum in Jones v. Wolf, 443 U.S. 595 (1979).</w:t>
      </w:r>
    </w:p>
    <w:p>
      <w:pPr>
        <w:spacing w:after="160"/>
      </w:pPr>
      <w:r>
        <w:rPr>
          <w:rFonts w:ascii="Arial" w:cs="Arial" w:eastAsia="Arial" w:hAnsi="Arial"/>
          <w:sz w:val="22"/>
          <w:szCs w:val="22"/>
        </w:rPr>
        <w:t xml:space="preserve">Both of those churches have a provision in their governing documents which purports to declare and impose a trust in their favor on the individual properties of each of thousands of their member parishes. Innocently continuing to maintain and contribute to the improvement of their church buildings, the congregations in those churches never realize that they do not really own their own property -- at least, not until they start to disagree with the drift of their denominations. Then, if they seek legal advice, they all too often find out that their national church has a chokehold on their properties: if they vote to leave, they cannot remain in their buildings, or keep any donated communion vessels, altar cloths or vestments.</w:t>
      </w:r>
    </w:p>
    <w:p>
      <w:pPr>
        <w:spacing w:after="160"/>
      </w:pPr>
      <w:r>
        <w:rPr>
          <w:rFonts w:ascii="Arial" w:cs="Arial" w:eastAsia="Arial" w:hAnsi="Arial"/>
          <w:sz w:val="22"/>
          <w:szCs w:val="22"/>
        </w:rPr>
        <w:t xml:space="preserve">In his majority opinion, after holding that Georgia courts constitutionally did not have to defer to church authorities regarding the ownership of parish property, Justice Blackmun invited churches with a national superstructure to modify their governing documents. He wrote: "Alternatively, the constitution of the general church can be made to recite an express trust in favor of the denominational church. The burden involved in taking such steps will be minimal." (443 U.S. at 606.)</w:t>
      </w:r>
    </w:p>
    <w:p>
      <w:pPr>
        <w:spacing w:after="160"/>
      </w:pPr>
      <w:r>
        <w:rPr>
          <w:rFonts w:ascii="Arial" w:cs="Arial" w:eastAsia="Arial" w:hAnsi="Arial"/>
          <w:sz w:val="22"/>
          <w:szCs w:val="22"/>
        </w:rPr>
        <w:t xml:space="preserve">To many State courts, this was taken as a pronouncement from on high that henceforth, national churches could bypass with a single stroke, and for all the parish properties in their jurisdiction, the various requirements that a legally recognizable trust could be established only in a written instrument, signed by the property owners themselves, i.e., the several parishes. Overlooked was Justice Blackmun's additional observation (emphasis added):</w:t>
      </w:r>
    </w:p>
    <w:p>
      <w:pPr>
        <w:spacing w:after="160"/>
      </w:pPr>
      <w:r>
        <w:rPr>
          <w:rFonts w:ascii="Arial" w:cs="Arial" w:eastAsia="Arial" w:hAnsi="Arial"/>
          <w:sz w:val="22"/>
          <w:szCs w:val="22"/>
        </w:rPr>
        <w:t xml:space="preserve">And the civil courts will be bound to give effect to the result indicated by the parties, provided it is embodied in some legally cognizable form.</w:t>
      </w:r>
    </w:p>
    <w:p>
      <w:pPr>
        <w:spacing w:after="160"/>
      </w:pPr>
      <w:r>
        <w:rPr>
          <w:rFonts w:ascii="Arial" w:cs="Arial" w:eastAsia="Arial" w:hAnsi="Arial"/>
          <w:sz w:val="22"/>
          <w:szCs w:val="22"/>
        </w:rPr>
        <w:t xml:space="preserve">Do you see the language I have bolded? In a legal sense, when a national church, through its legislative body, simply promulgates a rule or canon imposing a nationwide trust which the parishes are not told about, it is hard to understand how such a "result" may be said to embody the intent of both parties to the transaction -- namely, the church and each individual parish, acting as a settlor (creator) of the trust in favor of the national church. And yet State court after State court has held that it could imply the requisite consent to the imposition of such a trust, merely from the fact of the parish's membership in the larger organization as a whole, in which it "recognized" or "acceded to" the authority of the greater entity.</w:t>
      </w:r>
    </w:p>
    <w:p>
      <w:pPr>
        <w:spacing w:after="160"/>
      </w:pPr>
      <w:r>
        <w:rPr>
          <w:rFonts w:ascii="Arial" w:cs="Arial" w:eastAsia="Arial" w:hAnsi="Arial"/>
          <w:sz w:val="22"/>
          <w:szCs w:val="22"/>
        </w:rPr>
        <w:t xml:space="preserve">But no other body or organization -- religious or otherwise -- has been granted the privilege of creating enforceable trusts in such a unilateral fashion. This is the crux of the three petitions for review: how could a simple obiter dictum (a remark made as an aside, in the course of a decision) suddenly become the law of the land, sufficient to override all state and local laws to the contrary? That is not how the law is supposed to work, and if he were still alive, one would hope that Justice Blackmun would disavow any such intent behind his gratuitous statements.</w:t>
      </w:r>
    </w:p>
    <w:p>
      <w:pPr>
        <w:spacing w:after="160"/>
      </w:pPr>
      <w:r>
        <w:rPr>
          <w:rFonts w:ascii="Arial" w:cs="Arial" w:eastAsia="Arial" w:hAnsi="Arial"/>
          <w:sz w:val="22"/>
          <w:szCs w:val="22"/>
        </w:rPr>
        <w:t xml:space="preserve">For in practical effect, that result amounts to granting special State privileges to just one type of church. And that "establishment" of one type of church over all other types, and over all other kinds of property owners as well, quite plainly is contrary to the Establishment Clause of the First Amendment, as applied to the several States through the Fourteenth Amendment of the United States Constitution.</w:t>
      </w:r>
    </w:p>
    <w:p>
      <w:pPr>
        <w:spacing w:after="160"/>
      </w:pPr>
      <w:r>
        <w:rPr>
          <w:rFonts w:ascii="Arial" w:cs="Arial" w:eastAsia="Arial" w:hAnsi="Arial"/>
          <w:sz w:val="22"/>
          <w:szCs w:val="22"/>
        </w:rPr>
        <w:t xml:space="preserve">The Supreme Court created the current mess of First Amendment law which has burgeoned in consequence of Justice Blackmun's dictum, and it will take the Supreme Court to clean it up. Later, as I have the chance, I will upload the petitions to a site where you may read them, and I will comment further on their arguments.</w:t>
      </w:r>
    </w:p>
    <w:p>
      <w:pPr>
        <w:spacing w:after="160"/>
      </w:pPr>
      <w:r>
        <w:rPr>
          <w:rFonts w:ascii="Arial" w:cs="Arial" w:eastAsia="Arial" w:hAnsi="Arial"/>
          <w:sz w:val="22"/>
          <w:szCs w:val="22"/>
        </w:rPr>
        <w:t xml:space="preserve">[UPDATE 03/24/2012: The Petition filed by Christ Church may be downloaded from this link, and the Bishop Seabury Petition from this link. A full copy of the earlier Petition filed by Timberridge is here.]</w:t>
      </w:r>
    </w:p>
    <w:p>
      <w:pPr>
        <w:spacing w:after="160"/>
      </w:pPr>
      <w:r>
        <w:rPr>
          <w:rFonts w:ascii="Arial" w:cs="Arial" w:eastAsia="Arial" w:hAnsi="Arial"/>
          <w:sz w:val="22"/>
          <w:szCs w:val="22"/>
        </w:rPr>
        <w:t xml:space="preserve">For now, we may take heart that the United States Supreme Court has three petitions in front of it, each of which raises the identical question for it to resolve.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FILES WRIT OF CERTIORARI WITH SCOTUS, JOINS SEABURY</dc:title>
  <dc:creator>VirtueOnline Archive</dc:creator>
  <cp:lastModifiedBy>Un-named</cp:lastModifiedBy>
  <cp:revision>1</cp:revision>
  <dcterms:created xsi:type="dcterms:W3CDTF">2026-04-22T11:55:37.125Z</dcterms:created>
  <dcterms:modified xsi:type="dcterms:W3CDTF">2026-04-22T11:55:37.125Z</dcterms:modified>
</cp:coreProperties>
</file>

<file path=docProps/custom.xml><?xml version="1.0" encoding="utf-8"?>
<Properties xmlns="http://schemas.openxmlformats.org/officeDocument/2006/custom-properties" xmlns:vt="http://schemas.openxmlformats.org/officeDocument/2006/docPropsVTypes"/>
</file>