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ONE QUARTER OF COFE DIOCESES 'IN THE RED', NEW STUDY SHOWS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Times Online</w:t>
      </w:r>
    </w:p>
    <w:p>
      <w:pPr>
        <w:spacing w:after="160"/>
      </w:pPr>
      <w:r>
        <w:rPr>
          <w:rFonts w:ascii="Arial" w:cs="Arial" w:eastAsia="Arial" w:hAnsi="Arial"/>
          <w:sz w:val="22"/>
          <w:szCs w:val="22"/>
        </w:rPr>
        <w:t xml:space="preserve">http://timescolumns.typepad.com/</w:t>
      </w:r>
    </w:p>
    <w:p>
      <w:pPr>
        <w:spacing w:after="160"/>
      </w:pPr>
      <w:r>
        <w:rPr>
          <w:rFonts w:ascii="Arial" w:cs="Arial" w:eastAsia="Arial" w:hAnsi="Arial"/>
          <w:sz w:val="22"/>
          <w:szCs w:val="22"/>
        </w:rPr>
        <w:t xml:space="preserve">May 12, 2010</w:t>
      </w:r>
    </w:p>
    <w:p>
      <w:pPr>
        <w:spacing w:after="160"/>
      </w:pPr>
      <w:r>
        <w:rPr>
          <w:rFonts w:ascii="Arial" w:cs="Arial" w:eastAsia="Arial" w:hAnsi="Arial"/>
          <w:sz w:val="22"/>
          <w:szCs w:val="22"/>
        </w:rPr>
        <w:t xml:space="preserve">A quarter of the Church of England's 42 dioceses are running deficits and spending the 'family silver' to stay afloat, as we report in The Times today. I didn't have room to bring this out in the news story but almost more interesting than the £2.5 million deficit in Bath and Wells in 2008 was the astonishing £25 million of liquid reserves in Southwark, as shown on this table.</w:t>
      </w:r>
    </w:p>
    <w:p>
      <w:pPr>
        <w:spacing w:after="160"/>
      </w:pPr>
      <w:r>
        <w:rPr>
          <w:rFonts w:ascii="Arial" w:cs="Arial" w:eastAsia="Arial" w:hAnsi="Arial"/>
          <w:sz w:val="22"/>
          <w:szCs w:val="22"/>
        </w:rPr>
        <w:t xml:space="preserve">I asked Mazars if this could possibly be correct. Had they just sold a cathedral or something when this study was done? 'Southwark if a just very rich diocese,' they said. I am waiting to hear what Southwark has to say, but also wondering if my own vicar knows about this. Our church currently has an appeal on for a substantial refurb....</w:t>
      </w:r>
    </w:p>
    <w:p>
      <w:pPr>
        <w:spacing w:after="160"/>
      </w:pPr>
      <w:r>
        <w:rPr>
          <w:rFonts w:ascii="Arial" w:cs="Arial" w:eastAsia="Arial" w:hAnsi="Arial"/>
          <w:sz w:val="22"/>
          <w:szCs w:val="22"/>
        </w:rPr>
        <w:t xml:space="preserve">Here is the full Church of England Diocesan Benchmarking Study by accountants Mazars.</w:t>
      </w:r>
    </w:p>
    <w:p>
      <w:pPr>
        <w:spacing w:after="160"/>
      </w:pPr>
      <w:r>
        <w:rPr>
          <w:rFonts w:ascii="Arial" w:cs="Arial" w:eastAsia="Arial" w:hAnsi="Arial"/>
          <w:sz w:val="22"/>
          <w:szCs w:val="22"/>
        </w:rPr>
        <w:t xml:space="preserve">This is what it says in the intro:</w:t>
      </w:r>
    </w:p>
    <w:p>
      <w:pPr>
        <w:spacing w:after="160"/>
      </w:pPr>
      <w:r>
        <w:rPr>
          <w:rFonts w:ascii="Arial" w:cs="Arial" w:eastAsia="Arial" w:hAnsi="Arial"/>
          <w:sz w:val="22"/>
          <w:szCs w:val="22"/>
        </w:rPr>
        <w:t xml:space="preserve">We have identified three key themes:</w:t>
      </w:r>
    </w:p>
    <w:p>
      <w:pPr>
        <w:spacing w:after="160"/>
      </w:pPr>
      <w:r>
        <w:rPr>
          <w:rFonts w:ascii="Arial" w:cs="Arial" w:eastAsia="Arial" w:hAnsi="Arial"/>
          <w:sz w:val="22"/>
          <w:szCs w:val="22"/>
        </w:rPr>
        <w:t xml:space="preserve">* Diocesan finances are finely balanced.</w:t>
      </w:r>
    </w:p>
    <w:p>
      <w:pPr>
        <w:spacing w:after="160"/>
      </w:pPr>
      <w:r>
        <w:rPr>
          <w:rFonts w:ascii="Arial" w:cs="Arial" w:eastAsia="Arial" w:hAnsi="Arial"/>
          <w:sz w:val="22"/>
          <w:szCs w:val="22"/>
        </w:rPr>
        <w:t xml:space="preserve">Table 2a (the red bars) shows both unrestricted incoming resources and resources expended at a total of £400 million in each case. Table 11 (the yellow square) shows an average deficit on unrestricted income of £200,000 and average unrestricted funds of £5 million. Table 12a shows that 15 dioceses have free reserves of 3 to 6 months, whilst 10 have 1 month or less. We know that many dioceses are working to achieve a balanced budget on unrestricted funds, at a time of pressure on the collection of parish share and increases in the cost of providing clergy pension benefits. This analysis commends the importance of a balanced budget on unrestricted funds as deficits will be difficult to sustain.</w:t>
      </w:r>
    </w:p>
    <w:p>
      <w:pPr>
        <w:spacing w:after="160"/>
      </w:pPr>
      <w:r>
        <w:rPr>
          <w:rFonts w:ascii="Arial" w:cs="Arial" w:eastAsia="Arial" w:hAnsi="Arial"/>
          <w:sz w:val="22"/>
          <w:szCs w:val="22"/>
        </w:rPr>
        <w:t xml:space="preserve">* Tables 4 and 5 look at clergy and staff numbers. On average (the yellow squares), Table 4 shows there are 40 lay staff supporting 200 clergy. Table 5 shows that on average there are 180 clergy per million people in the diocese, with each clergy member responsible for 1.7 parishes. What changes in working practice could reduce the proportion of lay staff and enable individual clergy to support a higher population? What would be the effect of such changes on parishes, dioceses, staff and clergy?</w:t>
      </w:r>
    </w:p>
    <w:p>
      <w:pPr>
        <w:spacing w:after="160"/>
      </w:pPr>
      <w:r>
        <w:rPr>
          <w:rFonts w:ascii="Arial" w:cs="Arial" w:eastAsia="Arial" w:hAnsi="Arial"/>
          <w:sz w:val="22"/>
          <w:szCs w:val="22"/>
        </w:rPr>
        <w:t xml:space="preserve">* Tables 6 and 7 look at the size of trustee boards and how trustees are selected for these boards. The average board is 28 members, of whom 16 are elected, 9 are members ex officio such as the Diocesan and Suffragan Bishops and the Archdeacons and 3 are coopted to bring specialist skills and experience. These boards are large in relation to other charities of a similar complexity, arising because of the number who are elected to allow representation. We ask whether smaller boards would be better placed to address the financial challenges which dioceses face? Could this free able and committed individuals from the responsibilities of trusteeship and allow these individuals to focus more on mission and renewal?</w:t>
      </w:r>
    </w:p>
    <w:p>
      <w:pPr>
        <w:spacing w:after="160"/>
      </w:pPr>
      <w:r>
        <w:rPr>
          <w:rFonts w:ascii="Arial" w:cs="Arial" w:eastAsia="Arial" w:hAnsi="Arial"/>
          <w:sz w:val="22"/>
          <w:szCs w:val="22"/>
        </w:rPr>
        <w:t xml:space="preserve">This study is based on information extracted from financial statements. There may well be variations in the ways that individual dioceses categorise information, for instance on governance costs. There may be benefit in asking individual dioceses for additional information to refine these benchmarks.</w:t>
      </w:r>
    </w:p>
    <w:p>
      <w:pPr>
        <w:spacing w:after="160"/>
      </w:pPr>
      <w:r>
        <w:rPr>
          <w:rFonts w:ascii="Arial" w:cs="Arial" w:eastAsia="Arial" w:hAnsi="Arial"/>
          <w:sz w:val="22"/>
          <w:szCs w:val="22"/>
        </w:rPr>
        <w:t xml:space="preserve">We are conscious that the benchmarking indices in this study are quantitative and not qualitative. What other benchmarks would be relevant, whether quantitative or qualitative? For ease of reference, we have considered all 42 dioceses as a body in this study. Would the benchmarks be of more benefit if broken down, for instance between rural, urban and city dioceses? Most importantly, how can the findings of this study be used to help dioceses in their work.</w:t>
      </w:r>
    </w:p>
    <w:p>
      <w:pPr>
        <w:spacing w:after="160"/>
      </w:pPr>
      <w:r>
        <w:rPr>
          <w:rFonts w:ascii="Arial" w:cs="Arial" w:eastAsia="Arial" w:hAnsi="Arial"/>
          <w:sz w:val="22"/>
          <w:szCs w:val="22"/>
        </w:rPr>
        <w:t xml:space="preserve">As a further item of interest, look at the graph below to see which dioceses best in persuading parishes to part with their 'share'. Bradford I can understand. Will Bradford last for much longer any way? But Wakefield, Manchester and Norwich - they must be setting the bar too high for parishes I fear to have such low returns because the majority pay more than 95 per cent so clearly the spirit is willing in the Church in general.</w:t>
      </w:r>
    </w:p>
    <w:p>
      <w:pPr>
        <w:spacing w:after="160"/>
      </w:pPr>
      <w:r>
        <w:rPr>
          <w:rFonts w:ascii="Arial" w:cs="Arial" w:eastAsia="Arial" w:hAnsi="Arial"/>
          <w:sz w:val="22"/>
          <w:szCs w:val="22"/>
        </w:rPr>
        <w:t xml:space="preserve">The answer is obvious isn't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 QUARTER OF COFE DIOCESES 'IN THE RED', NEW STUDY SHOWS</dc:title>
  <dc:creator>VirtueOnline Archive</dc:creator>
  <cp:lastModifiedBy>Un-named</cp:lastModifiedBy>
  <cp:revision>1</cp:revision>
  <dcterms:created xsi:type="dcterms:W3CDTF">2026-04-22T11:55:14.835Z</dcterms:created>
  <dcterms:modified xsi:type="dcterms:W3CDTF">2026-04-22T11:55:14.835Z</dcterms:modified>
</cp:coreProperties>
</file>

<file path=docProps/custom.xml><?xml version="1.0" encoding="utf-8"?>
<Properties xmlns="http://schemas.openxmlformats.org/officeDocument/2006/custom-properties" xmlns:vt="http://schemas.openxmlformats.org/officeDocument/2006/docPropsVTypes"/>
</file>