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WORKS IN THE THEOLOGICAL INTERPRETATION OF SCRIPTURE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R. Seitz  |  http://www.livingchurch.org/news/news-updates/2011/2/18/new-works-in-the-theological-interpretation-of-scripture  |  February 18, 2011</w:t>
      </w:r>
    </w:p>
    <w:p>
      <w:pPr>
        <w:spacing w:after="160"/>
      </w:pPr>
      <w:r>
        <w:rPr>
          <w:rFonts w:ascii="Arial" w:cs="Arial" w:eastAsia="Arial" w:hAnsi="Arial"/>
          <w:sz w:val="22"/>
          <w:szCs w:val="22"/>
        </w:rPr>
        <w:t xml:space="preserve">Theological Interpretation of Scripture</w:t>
      </w:r>
    </w:p>
    <w:p>
      <w:pPr>
        <w:spacing w:after="160"/>
      </w:pPr>
      <w:r>
        <w:rPr>
          <w:rFonts w:ascii="Arial" w:cs="Arial" w:eastAsia="Arial" w:hAnsi="Arial"/>
          <w:sz w:val="22"/>
          <w:szCs w:val="22"/>
        </w:rPr>
        <w:t xml:space="preserve">By Stephen E. Fowl.</w:t>
      </w:r>
    </w:p>
    <w:p>
      <w:pPr>
        <w:spacing w:after="160"/>
      </w:pPr>
      <w:r>
        <w:rPr>
          <w:rFonts w:ascii="Arial" w:cs="Arial" w:eastAsia="Arial" w:hAnsi="Arial"/>
          <w:sz w:val="22"/>
          <w:szCs w:val="22"/>
        </w:rPr>
        <w:t xml:space="preserve">Cascade. Pp. 108. $13, paper.</w:t>
      </w:r>
    </w:p>
    <w:p>
      <w:pPr>
        <w:spacing w:after="160"/>
      </w:pPr>
      <w:r>
        <w:rPr>
          <w:rFonts w:ascii="Arial" w:cs="Arial" w:eastAsia="Arial" w:hAnsi="Arial"/>
          <w:sz w:val="22"/>
          <w:szCs w:val="22"/>
        </w:rPr>
        <w:t xml:space="preserve">ISBN 978-1-55635-241-6.</w:t>
      </w:r>
    </w:p>
    <w:p>
      <w:pPr>
        <w:spacing w:after="160"/>
      </w:pPr>
      <w:r>
        <w:rPr>
          <w:rFonts w:ascii="Arial" w:cs="Arial" w:eastAsia="Arial" w:hAnsi="Arial"/>
          <w:sz w:val="22"/>
          <w:szCs w:val="22"/>
        </w:rPr>
        <w:t xml:space="preserve">The Word of God for the People of God An Entryway to the Theological Interpretation of Scripture</w:t>
      </w:r>
    </w:p>
    <w:p>
      <w:pPr>
        <w:spacing w:after="160"/>
      </w:pPr>
      <w:r>
        <w:rPr>
          <w:rFonts w:ascii="Arial" w:cs="Arial" w:eastAsia="Arial" w:hAnsi="Arial"/>
          <w:sz w:val="22"/>
          <w:szCs w:val="22"/>
        </w:rPr>
        <w:t xml:space="preserve">By J. Todd Billings.</w:t>
      </w:r>
    </w:p>
    <w:p>
      <w:pPr>
        <w:spacing w:after="160"/>
      </w:pPr>
      <w:r>
        <w:rPr>
          <w:rFonts w:ascii="Arial" w:cs="Arial" w:eastAsia="Arial" w:hAnsi="Arial"/>
          <w:sz w:val="22"/>
          <w:szCs w:val="22"/>
        </w:rPr>
        <w:t xml:space="preserve">Eerdmans. Pp. 256. $18, paper.</w:t>
      </w:r>
    </w:p>
    <w:p>
      <w:pPr>
        <w:spacing w:after="160"/>
      </w:pPr>
      <w:r>
        <w:rPr>
          <w:rFonts w:ascii="Arial" w:cs="Arial" w:eastAsia="Arial" w:hAnsi="Arial"/>
          <w:sz w:val="22"/>
          <w:szCs w:val="22"/>
        </w:rPr>
        <w:t xml:space="preserve">ISBN 978-0-8028-6235-8.</w:t>
      </w:r>
    </w:p>
    <w:p>
      <w:pPr>
        <w:spacing w:after="160"/>
      </w:pPr>
      <w:r>
        <w:rPr>
          <w:rFonts w:ascii="Arial" w:cs="Arial" w:eastAsia="Arial" w:hAnsi="Arial"/>
          <w:sz w:val="22"/>
          <w:szCs w:val="22"/>
        </w:rPr>
        <w:t xml:space="preserve">Sharper Than a Two-Edged Sword Preaching, Teaching, and Living the Bible Edited by Michael Root and James J. Buckley. Eerdmans. Pp. 111. $16, paper. ISBN 978-0-8028-6271-6.</w:t>
      </w:r>
    </w:p>
    <w:p>
      <w:pPr>
        <w:spacing w:after="160"/>
      </w:pPr>
      <w:r>
        <w:rPr>
          <w:rFonts w:ascii="Arial" w:cs="Arial" w:eastAsia="Arial" w:hAnsi="Arial"/>
          <w:sz w:val="22"/>
          <w:szCs w:val="22"/>
        </w:rPr>
        <w:t xml:space="preserve">Theological interpretation of Scripture" is a large-scale rubric used to describe a variety of trends in biblical interpretation. What do these have in common? In many ways, they all represent a movement beyond the historical-critical paradigm for reading the Bible, which dominated study of the Bible in seminaries and universities in the 19th and 20th centuries. This paradigm focused on recovery of the biblical author behind the text, and the circumstances of the proclamation and the audience, as these could be reconstructed with historical tools.</w:t>
      </w:r>
    </w:p>
    <w:p>
      <w:pPr>
        <w:spacing w:after="160"/>
      </w:pPr>
      <w:r>
        <w:rPr>
          <w:rFonts w:ascii="Arial" w:cs="Arial" w:eastAsia="Arial" w:hAnsi="Arial"/>
          <w:sz w:val="22"/>
          <w:szCs w:val="22"/>
        </w:rPr>
        <w:t xml:space="preserve">The biblical text in its final form was a threshold one was to pass through, in order to determine the original setting and the historical context giving rise to the message and its first recipients. So, for example, the Book of Isaiah was not its own cooked meal, in its final 66-chapter form. Rather it presented the raw ingredients for reconstructing the real meal and menu, as these were served up by a variety of authors and editors over several centuries.</w:t>
      </w:r>
    </w:p>
    <w:p>
      <w:pPr>
        <w:spacing w:after="160"/>
      </w:pPr>
      <w:r>
        <w:rPr>
          <w:rFonts w:ascii="Arial" w:cs="Arial" w:eastAsia="Arial" w:hAnsi="Arial"/>
          <w:sz w:val="22"/>
          <w:szCs w:val="22"/>
        </w:rPr>
        <w:t xml:space="preserve">Similar understandings obtained for the "original" (Pauline) and derivative (so-called pseudepigraphical) letters of Paul, now to be reordered in their proper chronology; for the "authentic" Jesus "of history" as against the Fourfold Gospel presentation of the Jesus "of faith"; and for the constituent parts of the canonical presentation of each and every section of the Old and New Testaments.</w:t>
      </w:r>
    </w:p>
    <w:p>
      <w:pPr>
        <w:spacing w:after="160"/>
      </w:pPr>
      <w:r>
        <w:rPr>
          <w:rFonts w:ascii="Arial" w:cs="Arial" w:eastAsia="Arial" w:hAnsi="Arial"/>
          <w:sz w:val="22"/>
          <w:szCs w:val="22"/>
        </w:rPr>
        <w:t xml:space="preserve">If this was a fascination with affairs behind the biblical text in its given form, the newer "theological interpretation," as we find it in Theological Interpretation of Scripture, The Word of God for the People of God, and Sharper Than a Two-Edged Sword, represents a concern with affairs in front of the text. The concern is with the reader's interaction with the biblical text. This reader is either an individual exemplar or is situated within an explicit, churchly context, and so cannot be turned into a generic reader and the Bible into "any book," such that the presumed rules for competent reading ("general hermeneutics") could be transferred from the English department.</w:t>
      </w:r>
    </w:p>
    <w:p>
      <w:pPr>
        <w:spacing w:after="160"/>
      </w:pPr>
      <w:r>
        <w:rPr>
          <w:rFonts w:ascii="Arial" w:cs="Arial" w:eastAsia="Arial" w:hAnsi="Arial"/>
          <w:sz w:val="22"/>
          <w:szCs w:val="22"/>
        </w:rPr>
        <w:t xml:space="preserve">Historical-critical reading, especially in the 19th century, sought to establish a new species of historical analysis, and this was often given its clearest expression as it denounced or declared naïve the previous history of the Bible's interpretation: from the apostolic fathers to the creative, energetic, prolific work of Origen; to the Alexandrian interpreters, on one side, and the School of Antioch, on the other; with some consensus in the Cappadocians and Theodoret of Cyr; on to Augustine, Aquinas, Rashi, Luther, Calvin, and so on, in the quest for proper appreciation of the literal sense. The "history" of the previous interpreters entailed typology (the providential linkage of events in time, in the figure of Christ) and allegory (the pedagogy of Christian living and dying, through the lens of multiple senses intended by a single divine Author). But the newer account of "history," defined by a modern sense of "one thing after another" and a new awareness of external sources for reconstructing such an account, turned the Bible into a resource for "real history" and not its own - difficult and challenging - account.</w:t>
      </w:r>
    </w:p>
    <w:p>
      <w:pPr>
        <w:spacing w:after="160"/>
      </w:pPr>
      <w:r>
        <w:rPr>
          <w:rFonts w:ascii="Arial" w:cs="Arial" w:eastAsia="Arial" w:hAnsi="Arial"/>
          <w:sz w:val="22"/>
          <w:szCs w:val="22"/>
        </w:rPr>
        <w:t xml:space="preserve">One trend of the newer "theological interpretation" involves an appreciation of and reinstalling of the older "history of interpretation" as itself deserving front-and-center attention. Several commentaries and resources are now available which highlight the older history of interpretation (e.g., The Brazos Theological Commentary on the Bible; The Ancient Christian Commentary on Scripture). This is not just weariness with the historical-critical paradigm, or a sense of its inadequacies, but a new appreciation of what "history" and "theological interpretation" looked like in the older commentators of the Church. In Roman Catholic circles, one must also think of the ressourcement project of Henri de Lubac (along with Yves Congar and Jean Daniélou) as assisting in a fresh appreciation of allegorical and figural reading.</w:t>
      </w:r>
    </w:p>
    <w:p>
      <w:pPr>
        <w:spacing w:after="160"/>
      </w:pPr>
      <w:r>
        <w:rPr>
          <w:rFonts w:ascii="Arial" w:cs="Arial" w:eastAsia="Arial" w:hAnsi="Arial"/>
          <w:sz w:val="22"/>
          <w:szCs w:val="22"/>
        </w:rPr>
        <w:t xml:space="preserve">Canonical interpretation has occupied a transitional place between the older historical reading and the sorts of works associated with theological interpretation. Here the focus is not on matters behind the text, but the canonical text in its present form (with the variations of textual traditions noted). Attention is given to the churchly location of the readers of the biblical text and the implications of that, and canonical reading has also sought a sympathetic and critical reappraisal of the previous history of interpretation.</w:t>
      </w:r>
    </w:p>
    <w:p>
      <w:pPr>
        <w:spacing w:after="160"/>
      </w:pPr>
      <w:r>
        <w:rPr>
          <w:rFonts w:ascii="Arial" w:cs="Arial" w:eastAsia="Arial" w:hAnsi="Arial"/>
          <w:sz w:val="22"/>
          <w:szCs w:val="22"/>
        </w:rPr>
        <w:t xml:space="preserve">Canonical interpretation sees meaning imparted through the associations constructed in the final form of the biblical text (the Pauline Letter Collection; the fourfold Gospel account; the "Law and the Prophets"; the Book of the Twelve). In so doing, it sees inspiration as a matter of the maturing of the biblical witness within the household of faith - in Israel and in the Church - which gives rise to a specific form and character of the revelation. The relationship between the Old and New Testaments must likewise be grasped properly. Sharing the concern of theological interpretation with the limits of the historical-critical paradigm, canonical reading seeks to extend the older historical questions to the theological contribution of the text in its full and final form, as its own kind of history. This is where it frequently joins with the concerns of the earlier history of interpretation.</w:t>
      </w:r>
    </w:p>
    <w:p>
      <w:pPr>
        <w:spacing w:after="160"/>
      </w:pPr>
      <w:r>
        <w:rPr>
          <w:rFonts w:ascii="Arial" w:cs="Arial" w:eastAsia="Arial" w:hAnsi="Arial"/>
          <w:sz w:val="22"/>
          <w:szCs w:val="22"/>
        </w:rPr>
        <w:t xml:space="preserve">The works of Stephen Fowl and Todd Billings are self-conscious efforts to give a basic introduction to the theological interpretation of Scripture, as it is now practiced. Fowl, an Episcopal layman and chairman of the theology department at Loyola University Maryland, is a New Testament expert with an interest in general and theological hermeneutics. He has written previously on the topic, and the format of Theological Interpretation of Scripture, at just over 100 pages, elicits from him a proper sense of caution - not least because the movement away from the older historical paradigm is an invitation to what he calls "a large and somewhat chaotic party."</w:t>
      </w:r>
    </w:p>
    <w:p>
      <w:pPr>
        <w:spacing w:after="160"/>
      </w:pPr>
      <w:r>
        <w:rPr>
          <w:rFonts w:ascii="Arial" w:cs="Arial" w:eastAsia="Arial" w:hAnsi="Arial"/>
          <w:sz w:val="22"/>
          <w:szCs w:val="22"/>
        </w:rPr>
        <w:t xml:space="preserve">All the same, one comes away with a serviceable, fair, and balanced introduction to the trends of theological interpretation. If Fowl has a specific emphasis, it is on the nature of Scripture as tied to God's own life, and God's communicative self, and thus on Scripture as a dogmatic (in the generous sense of the term) reality. He also maintains his concern for the virtues and practices of readers as requiring a critical place in the interpretation of Scripture. In one handy chapter Fowl rosters the varieties of concern for theological interpretation and provides a bibliography.</w:t>
      </w:r>
    </w:p>
    <w:p>
      <w:pPr>
        <w:spacing w:after="160"/>
      </w:pPr>
      <w:r>
        <w:rPr>
          <w:rFonts w:ascii="Arial" w:cs="Arial" w:eastAsia="Arial" w:hAnsi="Arial"/>
          <w:sz w:val="22"/>
          <w:szCs w:val="22"/>
        </w:rPr>
        <w:t xml:space="preserve">Todd Billings has written a book for students and pastors, reflecting his concerns as a minister in the Reformed tradition. This is a longer work, and its audience is likely more focused on the American evangelical world. It is very clearly presented. It does not seek to engage in detail the secondary literature, but offers its own presentation of theological interpretation. One senses the concerns - and tensions - of the evangelical tradition on reliability and inspiration and facticity, as Billings seeks to widen the horizon within which the questions and concerns have taken form. He provocatively declares aspects of the evangelical concern with human authors and inspiration "deistic" and in some measure the mirror image of evangelicals' liberal debaters.</w:t>
      </w:r>
    </w:p>
    <w:p>
      <w:pPr>
        <w:spacing w:after="160"/>
      </w:pPr>
      <w:r>
        <w:rPr>
          <w:rFonts w:ascii="Arial" w:cs="Arial" w:eastAsia="Arial" w:hAnsi="Arial"/>
          <w:sz w:val="22"/>
          <w:szCs w:val="22"/>
        </w:rPr>
        <w:t xml:space="preserve">He prefers a "trinitarian reading" of the Bible and endeavors to explain this, charitably and intelligently, in the midst of a modern struggle between progressives and conservatives over the character of inspiration and God's capacity to speak via the scriptural letter. Each chapter comes with a bibliography for further reading. He shares Fowl's concern for the practices of Christian community and reading. He also frequently adverts to the older history of interpretation, selecting helpful examples from the hymnody of St. Bernard, the philosophical fragments of Kierkegaard, the paintings of Gaudenzio Ferrari, the writings of Calvin, and the more recent work of Roman Catholic philosopher Jean-Luc Marion, Kevin Vanhoozer, John Webster, and others. Billings is an effective communicator and the work is easy to read and passionate in its intention.</w:t>
      </w:r>
    </w:p>
    <w:p>
      <w:pPr>
        <w:spacing w:after="160"/>
      </w:pPr>
      <w:r>
        <w:rPr>
          <w:rFonts w:ascii="Arial" w:cs="Arial" w:eastAsia="Arial" w:hAnsi="Arial"/>
          <w:sz w:val="22"/>
          <w:szCs w:val="22"/>
        </w:rPr>
        <w:t xml:space="preserve">Sharper Than a Two-Edged Sword consists of various essays from well-known contributors: Thomas Briedenthal (Bishop of Southern Ohio), Ellen Davis (Episcopalian), Amy Plantinga Pauw (Presbyterian), Richard Hays (Methodist), Robert Jenson (Lutheran) and Roman Catholics James Buckley, R.R. Reno, and Michael Root. The chapters were given as papers at a conference at Duke Divinity School, sponsored by the Center for Catholic and Evangelical Theology, in 2006. They were directed to pastors and students, and the level is general and accessible. Three contributions deal directly with preaching and teaching the Bible in church and the role of the laity. The others speak more generally to the theme of theological interpretation. The book is a compact illustration of certain trends in theological reading, with an emphasis on practice.</w:t>
      </w:r>
    </w:p>
    <w:p>
      <w:pPr>
        <w:spacing w:after="160"/>
      </w:pPr>
      <w:r>
        <w:rPr>
          <w:rFonts w:ascii="Arial" w:cs="Arial" w:eastAsia="Arial" w:hAnsi="Arial"/>
          <w:sz w:val="22"/>
          <w:szCs w:val="22"/>
        </w:rPr>
        <w:t xml:space="preserve">All in all, these three works would be good additions to a library for those wanting to hear more about the theological interpretation of Scripture. They reflect the variety of ecclesial voices now looking at the task of Christian interpretation of Scripture, from a fresh direction. I would welcome further clarity on appeal to the "Rule of Faith" that frequently arises, and more precision on its place in the early Church, especially in respect of the Old Testament. Also, the legacy of historical-critical questions remains a crucial ingredient in any effort to read the Bible in our day. The question is just what legacy that represents and how it can best be integrated in the light of proper concern to hear the earlier history of interpretation and the particularities of the community of Christian readers, now and in the past.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Christopher R. Seitz is Research Professor of Biblical Interpretation at Wycliffe College in the University of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WORKS IN THE THEOLOGICAL INTERPRETATION OF SCRIPTURE</dc:title>
  <dc:creator>VirtueOnline Archive</dc:creator>
  <cp:lastModifiedBy>Un-named</cp:lastModifiedBy>
  <cp:revision>1</cp:revision>
  <dcterms:created xsi:type="dcterms:W3CDTF">2026-04-22T11:55:26.009Z</dcterms:created>
  <dcterms:modified xsi:type="dcterms:W3CDTF">2026-04-22T11:55:26.009Z</dcterms:modified>
</cp:coreProperties>
</file>

<file path=docProps/custom.xml><?xml version="1.0" encoding="utf-8"?>
<Properties xmlns="http://schemas.openxmlformats.org/officeDocument/2006/custom-properties" xmlns:vt="http://schemas.openxmlformats.org/officeDocument/2006/docPropsVTypes"/>
</file>