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ISSUES STATEMENT ON VIRGINIA COURT RULING</w:t>
      </w:r>
    </w:p>
    <w:p>
      <w:pPr>
        <w:pBdr>
          <w:bottom w:val="single" w:color="AAAAAA" w:sz="6"/>
        </w:pBdr>
        <w:spacing w:after="200" w:before="0"/>
      </w:pPr>
    </w:p>
    <w:p>
      <w:pPr>
        <w:spacing w:after="160"/>
      </w:pPr>
      <w:r>
        <w:rPr>
          <w:rFonts w:ascii="Arial" w:cs="Arial" w:eastAsia="Arial" w:hAnsi="Arial"/>
          <w:sz w:val="22"/>
          <w:szCs w:val="22"/>
        </w:rPr>
        <w:t xml:space="preserve">The Rev. Dr. Canon Charles K. Robertson</w:t>
      </w:r>
    </w:p>
    <w:p>
      <w:pPr>
        <w:spacing w:after="160"/>
      </w:pPr>
      <w:r>
        <w:rPr>
          <w:rFonts w:ascii="Arial" w:cs="Arial" w:eastAsia="Arial" w:hAnsi="Arial"/>
          <w:sz w:val="22"/>
          <w:szCs w:val="22"/>
        </w:rPr>
        <w:t xml:space="preserve">Canon to the Episcopal Church Presiding Bishop</w:t>
      </w:r>
    </w:p>
    <w:p>
      <w:pPr>
        <w:spacing w:after="160"/>
      </w:pPr>
      <w:r>
        <w:rPr>
          <w:rFonts w:ascii="Arial" w:cs="Arial" w:eastAsia="Arial" w:hAnsi="Arial"/>
          <w:sz w:val="22"/>
          <w:szCs w:val="22"/>
        </w:rPr>
        <w:t xml:space="preserve">December 19, 2008</w:t>
      </w:r>
    </w:p>
    <w:p>
      <w:pPr>
        <w:spacing w:after="160"/>
      </w:pPr>
      <w:r>
        <w:rPr>
          <w:rFonts w:ascii="Arial" w:cs="Arial" w:eastAsia="Arial" w:hAnsi="Arial"/>
          <w:sz w:val="22"/>
          <w:szCs w:val="22"/>
        </w:rPr>
        <w:t xml:space="preserve">The trial court in Virginia issued a ruling today resolving the remaining miscellaneous issues that the parties had raised in litigation involving nine Episcopal parishes in the Diocese of Virginia, clearing the way for review of the entire case by the Supreme Court of Virginia.</w:t>
      </w:r>
    </w:p>
    <w:p>
      <w:pPr>
        <w:spacing w:after="160"/>
      </w:pPr>
      <w:r>
        <w:rPr>
          <w:rFonts w:ascii="Arial" w:cs="Arial" w:eastAsia="Arial" w:hAnsi="Arial"/>
          <w:sz w:val="22"/>
          <w:szCs w:val="22"/>
        </w:rPr>
        <w:t xml:space="preserve">The trial court had ruled upon the principal issues in the case, which involved the interpretation and Constitutionality of Virginia's unique, Civil War-era "division" statute known as "Section 57-9", several months ago.</w:t>
      </w:r>
    </w:p>
    <w:p>
      <w:pPr>
        <w:spacing w:after="160"/>
      </w:pPr>
      <w:r>
        <w:rPr>
          <w:rFonts w:ascii="Arial" w:cs="Arial" w:eastAsia="Arial" w:hAnsi="Arial"/>
          <w:sz w:val="22"/>
          <w:szCs w:val="22"/>
        </w:rPr>
        <w:t xml:space="preserve">Today's decision concludes that some specific disputed property is not subject to the congregations' Section 57-9 petitions filed in an effort to claim the property, while other property is subject to similar congregational petitions.</w:t>
      </w:r>
    </w:p>
    <w:p>
      <w:pPr>
        <w:spacing w:after="160"/>
      </w:pPr>
      <w:r>
        <w:rPr>
          <w:rFonts w:ascii="Arial" w:cs="Arial" w:eastAsia="Arial" w:hAnsi="Arial"/>
          <w:sz w:val="22"/>
          <w:szCs w:val="22"/>
        </w:rPr>
        <w:t xml:space="preserve">We are not surprised -- or discouraged -- by the adverse aspects of today's decision. As we have stated previously, we shall now seek review of this case by the Supreme Court of Virginia and are optimistic that that court will reverse the trial court's interpretation and application of the Virginia statute and reaffirm Virginia's historic commitment to religious freedom.</w:t>
      </w:r>
    </w:p>
    <w:p>
      <w:pPr>
        <w:spacing w:after="160"/>
      </w:pPr>
      <w:r>
        <w:rPr>
          <w:rFonts w:ascii="Arial" w:cs="Arial" w:eastAsia="Arial" w:hAnsi="Arial"/>
          <w:sz w:val="22"/>
          <w:szCs w:val="22"/>
        </w:rPr>
        <w:t xml:space="preserve">In the meantime, the decisions in this case have no relevance for the property litigation brought by dioceses with the support of The Episcopal Church before courts in other states, which, we are pleased to say, have consistently ruled in favor of our positions.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ISSUES STATEMENT ON VIRGINIA COURT RULING</dc:title>
  <dc:creator>VirtueOnline Archive</dc:creator>
  <cp:lastModifiedBy>Un-named</cp:lastModifiedBy>
  <cp:revision>1</cp:revision>
  <dcterms:created xsi:type="dcterms:W3CDTF">2026-04-22T11:54:54.352Z</dcterms:created>
  <dcterms:modified xsi:type="dcterms:W3CDTF">2026-04-22T11:54:54.352Z</dcterms:modified>
</cp:coreProperties>
</file>

<file path=docProps/custom.xml><?xml version="1.0" encoding="utf-8"?>
<Properties xmlns="http://schemas.openxmlformats.org/officeDocument/2006/custom-properties" xmlns:vt="http://schemas.openxmlformats.org/officeDocument/2006/docPropsVTypes"/>
</file>