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MARRIAGE À LA MODE</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The Tablet</w:t>
      </w:r>
    </w:p>
    <w:p>
      <w:pPr>
        <w:spacing w:after="160"/>
      </w:pPr>
      <w:r>
        <w:rPr>
          <w:rFonts w:ascii="Arial" w:cs="Arial" w:eastAsia="Arial" w:hAnsi="Arial"/>
          <w:sz w:val="22"/>
          <w:szCs w:val="22"/>
        </w:rPr>
        <w:t xml:space="preserve">http://www.thetablet.co.uk/article/15915</w:t>
      </w:r>
    </w:p>
    <w:p>
      <w:pPr>
        <w:spacing w:after="160"/>
      </w:pPr>
      <w:r>
        <w:rPr>
          <w:rFonts w:ascii="Arial" w:cs="Arial" w:eastAsia="Arial" w:hAnsi="Arial"/>
          <w:sz w:val="22"/>
          <w:szCs w:val="22"/>
        </w:rPr>
        <w:t xml:space="preserve">February 22, 2011</w:t>
      </w:r>
    </w:p>
    <w:p>
      <w:pPr>
        <w:spacing w:after="160"/>
      </w:pPr>
      <w:r>
        <w:rPr>
          <w:rFonts w:ascii="Arial" w:cs="Arial" w:eastAsia="Arial" w:hAnsi="Arial"/>
          <w:sz w:val="22"/>
          <w:szCs w:val="22"/>
        </w:rPr>
        <w:t xml:space="preserve">Throughout the West, the issue of gay marriage has been used as the spearhead of a secularising agenda, propelled by those who want to rid modern civilisation of all traces of its Christian roots. Paradoxically, within the gay community itself the most vociferous supporters of gay marriage have been gay Christians, who want to be given an equal place in the life of Christian institutions rather than to overthrow them. Both these views are reflected in church reactions to government proposals in response to gay pressure, for instance for allowing a religious element in civil partnership ceremonies - at present forbidden by law - and even allowing a partnership or marriage ceremony in a church or synagogue. The Quakers, some liberal synagogues and the Unitarian Church would welcome that permission.</w:t>
      </w:r>
    </w:p>
    <w:p>
      <w:pPr>
        <w:spacing w:after="160"/>
      </w:pPr>
      <w:r>
        <w:rPr>
          <w:rFonts w:ascii="Arial" w:cs="Arial" w:eastAsia="Arial" w:hAnsi="Arial"/>
          <w:sz w:val="22"/>
          <w:szCs w:val="22"/>
        </w:rPr>
        <w:t xml:space="preserve">There is apparently no question at this time of the Roman Catholic Church, for instance, being forced to conduct gay weddings against its principles, though it could just conceivably find itself eventually facing damages claims from aggrieved Catholic gay couples. Nevertheless, all would be touched by a change in the basic law of marriage to make it include same-sex partners. None more so than the Church of England. On account of its established status as a national Church, it has a strong stake in keeping the law of marriage in as close proximity to Christian teaching as possible. But this can work both ways. If the law conforms to public opinion as channelled through Parliament rather than to traditional Christian teaching, over gay marriage or over some other issue, the Church of England will face a keen dilemma.</w:t>
      </w:r>
    </w:p>
    <w:p>
      <w:pPr>
        <w:spacing w:after="160"/>
      </w:pPr>
      <w:r>
        <w:rPr>
          <w:rFonts w:ascii="Arial" w:cs="Arial" w:eastAsia="Arial" w:hAnsi="Arial"/>
          <w:sz w:val="22"/>
          <w:szCs w:val="22"/>
        </w:rPr>
        <w:t xml:space="preserve">It was clear from the debate over the ordination of women that many Anglicans do not think their Church can let itself fall too far behind changing social norms. It may even persuade itself that what was demanded from it was in fact Christian: in this case, that Christian teaching is after all compatible with gay marriage. But this is Erastianism by another name - adjusting church doctrine in response to changes in secular opinion is in principle no different from making church doctrine subservient to secular rulers. If that is the price of establishment, it is too high.</w:t>
      </w:r>
    </w:p>
    <w:p>
      <w:pPr>
        <w:spacing w:after="160"/>
      </w:pPr>
      <w:r>
        <w:rPr>
          <w:rFonts w:ascii="Arial" w:cs="Arial" w:eastAsia="Arial" w:hAnsi="Arial"/>
          <w:sz w:val="22"/>
          <w:szCs w:val="22"/>
        </w:rPr>
        <w:t xml:space="preserve">Public opinion cannot be relied on as a source of moral authority. The consensus at any time may favour the restoration of capital punishment; not so long ago it wanted homosexuals locked up; nineteenth-century public opinion did not think women should have the vote; eighteenth-century public opinion supported slavery. There were Christian voices involved in the reform of all those positions, but they were voices of protest grounded in Scripture, tradition and natural law, not of conformity to prevailing social norms.</w:t>
      </w:r>
    </w:p>
    <w:p>
      <w:pPr>
        <w:spacing w:after="160"/>
      </w:pPr>
      <w:r>
        <w:rPr>
          <w:rFonts w:ascii="Arial" w:cs="Arial" w:eastAsia="Arial" w:hAnsi="Arial"/>
          <w:sz w:val="22"/>
          <w:szCs w:val="22"/>
        </w:rPr>
        <w:t xml:space="preserve">The time may have come to accept that there will have to be at least two understandings of marriage side by side, and that each should go its own way. As in Europe, it is perfectly viable to have church marriage validated by religious authorities and secular marriage validated by state authorities, and for a couple that wishes to, to undergo both forms. Then there would no longer be any suggestion that the secular form of marriage is part of the Christian legacy. There are grounds, indeed, for doubting whether it has been so for some time.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MARRIAGE À LA MODE</dc:title>
  <dc:creator>VirtueOnline Archive</dc:creator>
  <cp:lastModifiedBy>Un-named</cp:lastModifiedBy>
  <cp:revision>1</cp:revision>
  <dcterms:created xsi:type="dcterms:W3CDTF">2026-04-22T11:55:26.139Z</dcterms:created>
  <dcterms:modified xsi:type="dcterms:W3CDTF">2026-04-22T11:55:26.139Z</dcterms:modified>
</cp:coreProperties>
</file>

<file path=docProps/custom.xml><?xml version="1.0" encoding="utf-8"?>
<Properties xmlns="http://schemas.openxmlformats.org/officeDocument/2006/custom-properties" xmlns:vt="http://schemas.openxmlformats.org/officeDocument/2006/docPropsVTypes"/>
</file>