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LAY ANGLICAN LEADERS WRITE EPISCOPAL PRESIDING BISHOP OVER SCRIPTURE, LITIGATION</w:t>
      </w:r>
    </w:p>
    <w:p>
      <w:pPr>
        <w:pBdr>
          <w:bottom w:val="single" w:color="AAAAAA" w:sz="6"/>
        </w:pBdr>
        <w:spacing w:after="200" w:before="0"/>
      </w:pPr>
    </w:p>
    <w:p>
      <w:pPr>
        <w:spacing w:after="160"/>
      </w:pPr>
      <w:r>
        <w:rPr>
          <w:rFonts w:ascii="Arial" w:cs="Arial" w:eastAsia="Arial" w:hAnsi="Arial"/>
          <w:sz w:val="22"/>
          <w:szCs w:val="22"/>
        </w:rPr>
        <w:t xml:space="preserve">ANGLICAN LAITY FELLOWSHIP</w:t>
      </w:r>
    </w:p>
    <w:p>
      <w:pPr>
        <w:spacing w:after="160"/>
      </w:pPr>
      <w:r>
        <w:rPr>
          <w:rFonts w:ascii="Arial" w:cs="Arial" w:eastAsia="Arial" w:hAnsi="Arial"/>
          <w:sz w:val="22"/>
          <w:szCs w:val="22"/>
        </w:rPr>
        <w:t xml:space="preserve">P.O. Box 15796</w:t>
      </w:r>
    </w:p>
    <w:p>
      <w:pPr>
        <w:spacing w:after="160"/>
      </w:pPr>
      <w:r>
        <w:rPr>
          <w:rFonts w:ascii="Arial" w:cs="Arial" w:eastAsia="Arial" w:hAnsi="Arial"/>
          <w:sz w:val="22"/>
          <w:szCs w:val="22"/>
        </w:rPr>
        <w:t xml:space="preserve">Chevy Chase, MD 20825</w:t>
      </w:r>
    </w:p>
    <w:p>
      <w:pPr>
        <w:spacing w:after="160"/>
      </w:pPr>
      <w:r>
        <w:rPr>
          <w:rFonts w:ascii="Arial" w:cs="Arial" w:eastAsia="Arial" w:hAnsi="Arial"/>
          <w:sz w:val="22"/>
          <w:szCs w:val="22"/>
        </w:rPr>
        <w:t xml:space="preserve">www.anglicanlaityfellowship.net</w:t>
      </w:r>
    </w:p>
    <w:p>
      <w:pPr>
        <w:spacing w:after="160"/>
      </w:pPr>
      <w:r>
        <w:rPr>
          <w:rFonts w:ascii="Arial" w:cs="Arial" w:eastAsia="Arial" w:hAnsi="Arial"/>
          <w:sz w:val="22"/>
          <w:szCs w:val="22"/>
        </w:rPr>
        <w:t xml:space="preserve">email: info@anglicanlaityfellowship.net</w:t>
      </w:r>
    </w:p>
    <w:p>
      <w:pPr>
        <w:spacing w:after="160"/>
      </w:pPr>
      <w:r>
        <w:rPr>
          <w:rFonts w:ascii="Arial" w:cs="Arial" w:eastAsia="Arial" w:hAnsi="Arial"/>
          <w:sz w:val="22"/>
          <w:szCs w:val="22"/>
        </w:rPr>
        <w:t xml:space="preserve">July 30, 2010</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Presiding Bishop and Primate of the Episcopal Church</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NY 10017</w:t>
      </w:r>
    </w:p>
    <w:p>
      <w:pPr>
        <w:spacing w:after="160"/>
      </w:pPr>
      <w:r>
        <w:rPr>
          <w:rFonts w:ascii="Arial" w:cs="Arial" w:eastAsia="Arial" w:hAnsi="Arial"/>
          <w:sz w:val="22"/>
          <w:szCs w:val="22"/>
        </w:rPr>
        <w:t xml:space="preserve">Dear Presiding Bishop:</w:t>
      </w:r>
    </w:p>
    <w:p>
      <w:pPr>
        <w:spacing w:after="160"/>
      </w:pPr>
      <w:r>
        <w:rPr>
          <w:rFonts w:ascii="Arial" w:cs="Arial" w:eastAsia="Arial" w:hAnsi="Arial"/>
          <w:sz w:val="22"/>
          <w:szCs w:val="22"/>
        </w:rPr>
        <w:t xml:space="preserve">We write in regards to your June 2 pastoral letter to the Episcopal Church (TEC) concerning decisions made by TEC; the Archbishop of Canterbury's Pentecost letter, which among other things, recommends removal of TEC representatives from some AC committees; and TEC's concern about proposed sanctions language in the Covenant being considered by the Anglican Communion (AC). Your letter says TEC's "growing awareness does not deny the reality that many Anglicans and not a few Episcopalians still fervently hold traditional views about human sexuality." You say, "We have not made these decisions lightly. We recognize that the Spirit has not been widely heard in the same way in other parts of the Communion. In all humility, we recognize that we may be wrong, yet we have proceeded in the belief that the Spirit permeates our decisions." You add, "We do not seek to impose our understanding on others.</w:t>
      </w:r>
    </w:p>
    <w:p>
      <w:pPr>
        <w:spacing w:after="160"/>
      </w:pPr>
      <w:r>
        <w:rPr>
          <w:rFonts w:ascii="Arial" w:cs="Arial" w:eastAsia="Arial" w:hAnsi="Arial"/>
          <w:sz w:val="22"/>
          <w:szCs w:val="22"/>
        </w:rPr>
        <w:t xml:space="preserve">We do earnestly hope for continued dialogue with those who disagree, for we believe that the Spirit is always calling us to greater understanding."</w:t>
      </w:r>
    </w:p>
    <w:p>
      <w:pPr>
        <w:spacing w:after="160"/>
      </w:pPr>
      <w:r>
        <w:rPr>
          <w:rFonts w:ascii="Arial" w:cs="Arial" w:eastAsia="Arial" w:hAnsi="Arial"/>
          <w:sz w:val="22"/>
          <w:szCs w:val="22"/>
        </w:rPr>
        <w:t xml:space="preserve">In furtherance of continued dialogue, we prayerfully ask you to answer some laity questions, which take into account (1) the Archbishop's Pentecost letter; (2) the 2010 Global South primates' communique saying TEC has "total disregard for the mind of the Communion," is "on a course that contradicts the plain teaching of the Holy Scriptures" which "affect[s] the very salvation of those involved," and (3) a document posted on the American Anglican Council (AAC) website in 2010 on "Overbearing and Unjust Episcopal Acts" indicating TEC has violated its own canons in seizing parish properties and deposing clergy.</w:t>
      </w:r>
    </w:p>
    <w:p>
      <w:pPr>
        <w:spacing w:after="160"/>
      </w:pPr>
      <w:r>
        <w:rPr>
          <w:rFonts w:ascii="Arial" w:cs="Arial" w:eastAsia="Arial" w:hAnsi="Arial"/>
          <w:sz w:val="22"/>
          <w:szCs w:val="22"/>
        </w:rPr>
        <w:t xml:space="preserve">Scripture and Unity</w:t>
      </w:r>
    </w:p>
    <w:p>
      <w:pPr>
        <w:spacing w:after="160"/>
      </w:pPr>
      <w:r>
        <w:rPr>
          <w:rFonts w:ascii="Arial" w:cs="Arial" w:eastAsia="Arial" w:hAnsi="Arial"/>
          <w:sz w:val="22"/>
          <w:szCs w:val="22"/>
        </w:rPr>
        <w:t xml:space="preserve">1. If doctrine is still based on Scripture(S), Tradition(T), and Reason(R) and the AC is guided by corporate decisions of its Lambeth Conferences, are TEC's changes in teaching and practice valid as TEC/Gene.al Convention's actions did not explain how the changes are reconciled to STR or to 1998 Lambeth Conference Res. I.l O? What about Scripture supporting I.l 0 (e.g., Gen. 19:1-29; Lev. 18:22; Rom.l:26-27; Mt. 5:17-20?)? Are there any instances in the past when the Holy Spirit (referenced in your June letter) has overruled STR and Lambeth Conference resolutions on a doctrinal issue?</w:t>
      </w:r>
    </w:p>
    <w:p>
      <w:pPr>
        <w:spacing w:after="160"/>
      </w:pPr>
      <w:r>
        <w:rPr>
          <w:rFonts w:ascii="Arial" w:cs="Arial" w:eastAsia="Arial" w:hAnsi="Arial"/>
          <w:sz w:val="22"/>
          <w:szCs w:val="22"/>
        </w:rPr>
        <w:t xml:space="preserve">2. As all Christians are to be in unity in the body of Christ (e.g., John 17:21-23), why did TEC act unilaterally rather than jointly with the AC's Lambeth Conference, Primates' Meetings, or Anglican Consultative Council so all could deliberate and act as one? Is this why TEC may be removed from some AC committees as indicated by the Archbishop's Pentecost Letter?</w:t>
      </w:r>
    </w:p>
    <w:p>
      <w:pPr>
        <w:spacing w:after="160"/>
      </w:pPr>
      <w:r>
        <w:rPr>
          <w:rFonts w:ascii="Arial" w:cs="Arial" w:eastAsia="Arial" w:hAnsi="Arial"/>
          <w:sz w:val="22"/>
          <w:szCs w:val="22"/>
        </w:rPr>
        <w:t xml:space="preserve">3. Your June letter indicated TEC "may be wrong." What pastoral advice can you offer those with concerns that continued association with TEC could place their salvation at risk as indicated by the primates' communique?</w:t>
      </w:r>
    </w:p>
    <w:p>
      <w:pPr>
        <w:spacing w:after="160"/>
      </w:pPr>
      <w:r>
        <w:rPr>
          <w:rFonts w:ascii="Arial" w:cs="Arial" w:eastAsia="Arial" w:hAnsi="Arial"/>
          <w:sz w:val="22"/>
          <w:szCs w:val="22"/>
        </w:rPr>
        <w:t xml:space="preserve">Litigation</w:t>
      </w:r>
    </w:p>
    <w:p>
      <w:pPr>
        <w:spacing w:after="160"/>
      </w:pPr>
      <w:r>
        <w:rPr>
          <w:rFonts w:ascii="Arial" w:cs="Arial" w:eastAsia="Arial" w:hAnsi="Arial"/>
          <w:sz w:val="22"/>
          <w:szCs w:val="22"/>
        </w:rPr>
        <w:t xml:space="preserve">4. Since your June letter says TEC does "not seek to impose its understanding on others," why did TEC litigate against at least fifty-six parishes (AAC document) - many for seizure of property? When a parish's motive to leave TEC is for reasons above, doesn't charity call for TEC to let them leave with its blessing, especially when a parish has a burial facility? If this is not true, could you provide a pastoral explanation?</w:t>
      </w:r>
    </w:p>
    <w:p>
      <w:pPr>
        <w:spacing w:after="160"/>
      </w:pPr>
      <w:r>
        <w:rPr>
          <w:rFonts w:ascii="Arial" w:cs="Arial" w:eastAsia="Arial" w:hAnsi="Arial"/>
          <w:sz w:val="22"/>
          <w:szCs w:val="22"/>
        </w:rPr>
        <w:t xml:space="preserve">5. Why has TEe filed lawsuits in at least thirty-six instances against lay vestry members (AAC document) for punitive damages in excess of the value of the property (as personal lawsuits affect lives, cause emotional distress and seem contrary to Christian love for one another)?</w:t>
      </w:r>
    </w:p>
    <w:p>
      <w:pPr>
        <w:spacing w:after="160"/>
      </w:pPr>
      <w:r>
        <w:rPr>
          <w:rFonts w:ascii="Arial" w:cs="Arial" w:eastAsia="Arial" w:hAnsi="Arial"/>
          <w:sz w:val="22"/>
          <w:szCs w:val="22"/>
        </w:rPr>
        <w:t xml:space="preserve">6. How much has TEe spent on litigation since 2005 and is the money coming from laity pledges? If so, is there a way for laity who do not approve of the litigation to prevent their pledge contributions from being used for this purpose?</w:t>
      </w:r>
    </w:p>
    <w:p>
      <w:pPr>
        <w:spacing w:after="160"/>
      </w:pPr>
      <w:r>
        <w:rPr>
          <w:rFonts w:ascii="Arial" w:cs="Arial" w:eastAsia="Arial" w:hAnsi="Arial"/>
          <w:sz w:val="22"/>
          <w:szCs w:val="22"/>
        </w:rPr>
        <w:t xml:space="preserve">Clergy Removals</w:t>
      </w:r>
    </w:p>
    <w:p>
      <w:pPr>
        <w:spacing w:after="160"/>
      </w:pPr>
      <w:r>
        <w:rPr>
          <w:rFonts w:ascii="Arial" w:cs="Arial" w:eastAsia="Arial" w:hAnsi="Arial"/>
          <w:sz w:val="22"/>
          <w:szCs w:val="22"/>
        </w:rPr>
        <w:t xml:space="preserve">7. The AAC document indicates that at least 12 bishops and 404 priests/deacons who transferred to other AC provinces have been inhibited, deposed, or released. Such removals deprive them from ever being ministers of God's Word and Sacraments in TEC. As TEC is a "constituent member" of the AC (TEC Constitution) and ordinations in one province are usually recognized in other provinces, how do these transfers justify permanent removal from TEC as clergy?</w:t>
      </w:r>
    </w:p>
    <w:p>
      <w:pPr>
        <w:spacing w:after="160"/>
      </w:pPr>
      <w:r>
        <w:rPr>
          <w:rFonts w:ascii="Arial" w:cs="Arial" w:eastAsia="Arial" w:hAnsi="Arial"/>
          <w:sz w:val="22"/>
          <w:szCs w:val="22"/>
        </w:rPr>
        <w:t xml:space="preserve">8. As the AAC document indicates a basis for abandonment of communion under Title IV of the Canons is "open renunciation of the Doctrine, Discipline, or Worship of this Church," what is the basis for TEC to claim that some bishops and priests who transferred to other provinces of the Anglican Communion had met that standard? Please explain.</w:t>
      </w:r>
    </w:p>
    <w:p>
      <w:pPr>
        <w:spacing w:after="160"/>
      </w:pPr>
      <w:r>
        <w:rPr>
          <w:rFonts w:ascii="Arial" w:cs="Arial" w:eastAsia="Arial" w:hAnsi="Arial"/>
          <w:sz w:val="22"/>
          <w:szCs w:val="22"/>
        </w:rPr>
        <w:t xml:space="preserve">9. The AAC document indicates that in some occasions TEC implied renunciation of ministries. As the language in Title III requires bishops and priests to "declare in writing" a "desire" to be removed, how could TEe "imply" renunciation with no writing and desire expressed?</w:t>
      </w:r>
    </w:p>
    <w:p>
      <w:pPr>
        <w:spacing w:after="160"/>
      </w:pPr>
      <w:r>
        <w:rPr>
          <w:rFonts w:ascii="Arial" w:cs="Arial" w:eastAsia="Arial" w:hAnsi="Arial"/>
          <w:sz w:val="22"/>
          <w:szCs w:val="22"/>
        </w:rPr>
        <w:t xml:space="preserve">10. For three bishops deposed in 2008, the AAC document indicates five Title IV procedural requirements for "abandonment of communion" were not followed: (1) certification of facts by a majority vote of all Review Committee members; (2) consent of three senior bishops having jurisdiction to inhibit a bishop; (3) notice of certification/inhibition; (4) 60 days for a bishop charged to declare in writing the facts are false; (5) deposition by a majority of the whole number of bishops entitled to vote. Are the depositions then invalid; if not, why not?</w:t>
      </w:r>
    </w:p>
    <w:p>
      <w:pPr>
        <w:spacing w:after="160"/>
      </w:pPr>
      <w:r>
        <w:rPr>
          <w:rFonts w:ascii="Arial" w:cs="Arial" w:eastAsia="Arial" w:hAnsi="Arial"/>
          <w:sz w:val="22"/>
          <w:szCs w:val="22"/>
        </w:rPr>
        <w:t xml:space="preserve">11. Internet reports indicate TEC dissolved two diocesan Standing Committees, appointed others, and called a Special Convention to appoint an Interim Bishop. If that is the case, could you explain what canonical authority supported those actions?</w:t>
      </w:r>
    </w:p>
    <w:p>
      <w:pPr>
        <w:spacing w:after="160"/>
      </w:pPr>
      <w:r>
        <w:rPr>
          <w:rFonts w:ascii="Arial" w:cs="Arial" w:eastAsia="Arial" w:hAnsi="Arial"/>
          <w:sz w:val="22"/>
          <w:szCs w:val="22"/>
        </w:rPr>
        <w:t xml:space="preserve">12. As TEC's new teaching and practice is a minority view in the AC and world Christendom, and TEC does "not seek to impose its understanding on others", "hopes for continued dialogue" and concedes its actions "may be wrong", why has TEC sued parishes and deposed clergy? We board members of ALF respectfully offer the above questions on behalf of laity under the spirit of continued dialogue expressed in your June letter.</w:t>
      </w:r>
    </w:p>
    <w:p>
      <w:pPr>
        <w:spacing w:after="160"/>
      </w:pPr>
      <w:r>
        <w:rPr>
          <w:rFonts w:ascii="Arial" w:cs="Arial" w:eastAsia="Arial" w:hAnsi="Arial"/>
          <w:sz w:val="22"/>
          <w:szCs w:val="22"/>
        </w:rPr>
        <w:t xml:space="preserve">We prayerfully look forward to your pastoral responses, which we can distribute to the laity.</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Edward Joyeusaz</w:t>
      </w:r>
    </w:p>
    <w:p>
      <w:pPr>
        <w:spacing w:after="160"/>
      </w:pPr>
      <w:r>
        <w:rPr>
          <w:rFonts w:ascii="Arial" w:cs="Arial" w:eastAsia="Arial" w:hAnsi="Arial"/>
          <w:sz w:val="22"/>
          <w:szCs w:val="22"/>
        </w:rPr>
        <w:t xml:space="preserve">Fielder Calhoun</w:t>
      </w:r>
    </w:p>
    <w:p>
      <w:pPr>
        <w:spacing w:after="160"/>
      </w:pPr>
      <w:r>
        <w:rPr>
          <w:rFonts w:ascii="Arial" w:cs="Arial" w:eastAsia="Arial" w:hAnsi="Arial"/>
          <w:sz w:val="22"/>
          <w:szCs w:val="22"/>
        </w:rPr>
        <w:t xml:space="preserve">Adol Owen-Williams</w:t>
      </w:r>
    </w:p>
    <w:p>
      <w:pPr>
        <w:spacing w:after="160"/>
      </w:pPr>
      <w:r>
        <w:rPr>
          <w:rFonts w:ascii="Arial" w:cs="Arial" w:eastAsia="Arial" w:hAnsi="Arial"/>
          <w:sz w:val="22"/>
          <w:szCs w:val="22"/>
        </w:rPr>
        <w:t xml:space="preserve">Thomas W. L. Cameron</w:t>
      </w:r>
    </w:p>
    <w:p>
      <w:pPr>
        <w:spacing w:after="160"/>
      </w:pPr>
      <w:r>
        <w:rPr>
          <w:rFonts w:ascii="Arial" w:cs="Arial" w:eastAsia="Arial" w:hAnsi="Arial"/>
          <w:sz w:val="22"/>
          <w:szCs w:val="22"/>
        </w:rPr>
        <w:t xml:space="preserve">Francis X. Gallo</w:t>
      </w:r>
    </w:p>
    <w:p>
      <w:pPr>
        <w:spacing w:after="160"/>
      </w:pPr>
      <w:r>
        <w:rPr>
          <w:rFonts w:ascii="Arial" w:cs="Arial" w:eastAsia="Arial" w:hAnsi="Arial"/>
          <w:sz w:val="22"/>
          <w:szCs w:val="22"/>
        </w:rPr>
        <w:t xml:space="preserve">David R. Bickel</w:t>
      </w:r>
    </w:p>
    <w:p>
      <w:pPr>
        <w:spacing w:after="160"/>
      </w:pPr>
      <w:r>
        <w:rPr>
          <w:rFonts w:ascii="Arial" w:cs="Arial" w:eastAsia="Arial" w:hAnsi="Arial"/>
          <w:sz w:val="22"/>
          <w:szCs w:val="22"/>
        </w:rPr>
        <w:t xml:space="preserve">Bradley R. Hutt</w:t>
      </w:r>
    </w:p>
    <w:p>
      <w:pPr>
        <w:spacing w:after="160"/>
      </w:pPr>
      <w:r>
        <w:rPr>
          <w:rFonts w:ascii="Arial" w:cs="Arial" w:eastAsia="Arial" w:hAnsi="Arial"/>
          <w:sz w:val="22"/>
          <w:szCs w:val="22"/>
        </w:rPr>
        <w:t xml:space="preserve">cc: open distribution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LAY ANGLICAN LEADERS WRITE EPISCOPAL PRESIDING BISHOP OVER SCRIPTURE, LITIGATION</dc:title>
  <dc:creator>VirtueOnline Archive</dc:creator>
  <cp:lastModifiedBy>Un-named</cp:lastModifiedBy>
  <cp:revision>1</cp:revision>
  <dcterms:created xsi:type="dcterms:W3CDTF">2026-04-22T11:55:18.296Z</dcterms:created>
  <dcterms:modified xsi:type="dcterms:W3CDTF">2026-04-22T11:55:18.296Z</dcterms:modified>
</cp:coreProperties>
</file>

<file path=docProps/custom.xml><?xml version="1.0" encoding="utf-8"?>
<Properties xmlns="http://schemas.openxmlformats.org/officeDocument/2006/custom-properties" xmlns:vt="http://schemas.openxmlformats.org/officeDocument/2006/docPropsVTypes"/>
</file>