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FT WORTH: LAWSUIT: SAN ANGELO ATTORNEY BRIEFS WHY DIOCESE CAN LEAVE</w:t>
      </w:r>
    </w:p>
    <w:p>
      <w:pPr>
        <w:pBdr>
          <w:bottom w:val="single" w:color="AAAAAA" w:sz="6"/>
        </w:pBdr>
        <w:spacing w:after="200" w:before="0"/>
      </w:pPr>
    </w:p>
    <w:p>
      <w:pPr>
        <w:spacing w:after="240"/>
      </w:pPr>
      <w:r>
        <w:rPr>
          <w:rFonts w:ascii="Arial" w:cs="Arial" w:eastAsia="Arial" w:hAnsi="Arial"/>
          <w:i/>
          <w:iCs/>
          <w:color w:val="666666"/>
          <w:sz w:val="20"/>
          <w:szCs w:val="20"/>
        </w:rPr>
        <w:t xml:space="preserve">By A.S. Haley</w:t>
      </w:r>
    </w:p>
    <w:p>
      <w:pPr>
        <w:spacing w:after="160"/>
      </w:pPr>
      <w:r>
        <w:rPr>
          <w:rFonts w:ascii="Arial" w:cs="Arial" w:eastAsia="Arial" w:hAnsi="Arial"/>
          <w:sz w:val="22"/>
          <w:szCs w:val="22"/>
        </w:rPr>
        <w:t xml:space="preserve">http://accurmudgeon.blogspot.com/</w:t>
      </w:r>
    </w:p>
    <w:p>
      <w:pPr>
        <w:spacing w:after="160"/>
      </w:pPr>
      <w:r>
        <w:rPr>
          <w:rFonts w:ascii="Arial" w:cs="Arial" w:eastAsia="Arial" w:hAnsi="Arial"/>
          <w:sz w:val="22"/>
          <w:szCs w:val="22"/>
        </w:rPr>
        <w:t xml:space="preserve">February 19, 2010</w:t>
      </w:r>
    </w:p>
    <w:p>
      <w:pPr>
        <w:spacing w:after="160"/>
      </w:pPr>
      <w:r>
        <w:rPr>
          <w:rFonts w:ascii="Arial" w:cs="Arial" w:eastAsia="Arial" w:hAnsi="Arial"/>
          <w:sz w:val="22"/>
          <w:szCs w:val="22"/>
        </w:rPr>
        <w:t xml:space="preserve">ISSUE 1 Diocese Has Common Law Right To Withdraw From Association</w:t>
      </w:r>
    </w:p>
    <w:p>
      <w:pPr>
        <w:spacing w:after="160"/>
      </w:pPr>
      <w:r>
        <w:rPr>
          <w:rFonts w:ascii="Arial" w:cs="Arial" w:eastAsia="Arial" w:hAnsi="Arial"/>
          <w:sz w:val="22"/>
          <w:szCs w:val="22"/>
        </w:rPr>
        <w:t xml:space="preserve">The position of the Episcopal Diocese of Fort Worth headed by Bishop Iker (hereinafter "the Diocese") and its corporation, that they have withdrawn from The Episcopal Church, is supported by the common law and the First Amendment.</w:t>
      </w:r>
    </w:p>
    <w:p>
      <w:pPr>
        <w:spacing w:after="160"/>
      </w:pPr>
      <w:r>
        <w:rPr>
          <w:rFonts w:ascii="Arial" w:cs="Arial" w:eastAsia="Arial" w:hAnsi="Arial"/>
          <w:sz w:val="22"/>
          <w:szCs w:val="22"/>
        </w:rPr>
        <w:t xml:space="preserve">1. Common law gives right to withdraw. The common law of associations and contracts entitles a member to withdraw without the consent of the association.</w:t>
      </w:r>
    </w:p>
    <w:p>
      <w:pPr>
        <w:spacing w:after="160"/>
      </w:pPr>
      <w:r>
        <w:rPr>
          <w:rFonts w:ascii="Arial" w:cs="Arial" w:eastAsia="Arial" w:hAnsi="Arial"/>
          <w:sz w:val="22"/>
          <w:szCs w:val="22"/>
        </w:rPr>
        <w:t xml:space="preserve">A. Principle of association law. Ordinarily, an individual is free to resign from an association, subject to any financial obligations due and owing the group, and a by-law which restricts this right or makes the withdrawal subject to the organization's approval is invalid. 6 Am. Jur. 2d "Associations And Clubs" §26 (2009).</w:t>
      </w:r>
    </w:p>
    <w:p>
      <w:pPr>
        <w:spacing w:after="160"/>
      </w:pPr>
      <w:r>
        <w:rPr>
          <w:rFonts w:ascii="Arial" w:cs="Arial" w:eastAsia="Arial" w:hAnsi="Arial"/>
          <w:sz w:val="22"/>
          <w:szCs w:val="22"/>
        </w:rPr>
        <w:t xml:space="preserve">B. Presumption of contract law. Association law is grounded in contract law. The constitution and by-laws of an association are a contract between the members themselves and between the association and the individual member. Lundine v. McKinney, 183 S.W.2d 265,273 (Tex.Civ.App. - Eastland 1944, no writ); State of Oklahoma v. Gasaway, 863 P.2d 1189,1193-1194 (Okla. 1993).</w:t>
      </w:r>
    </w:p>
    <w:p>
      <w:pPr>
        <w:spacing w:after="160"/>
      </w:pPr>
      <w:r>
        <w:rPr>
          <w:rFonts w:ascii="Arial" w:cs="Arial" w:eastAsia="Arial" w:hAnsi="Arial"/>
          <w:sz w:val="22"/>
          <w:szCs w:val="22"/>
        </w:rPr>
        <w:t xml:space="preserve">Having established that association law is a matter of contract between its members, Mr. Brown next establishes a basic principle of contract law: nothing is perpetual unless you expressly make it so in the wording of the contract.</w:t>
      </w:r>
    </w:p>
    <w:p>
      <w:pPr>
        <w:spacing w:after="160"/>
      </w:pPr>
      <w:r>
        <w:rPr>
          <w:rFonts w:ascii="Arial" w:cs="Arial" w:eastAsia="Arial" w:hAnsi="Arial"/>
          <w:sz w:val="22"/>
          <w:szCs w:val="22"/>
        </w:rPr>
        <w:t xml:space="preserve">(i) Obligation in perpetuity must be unequivocally expressed. A contract will not be construed to impose an obligation in perpetuity unless the intention is unequivocally expressed and the language of the contract compels such construction. [Citations omitted.]</w:t>
      </w:r>
    </w:p>
    <w:p>
      <w:pPr>
        <w:spacing w:after="160"/>
      </w:pPr>
      <w:r>
        <w:rPr>
          <w:rFonts w:ascii="Arial" w:cs="Arial" w:eastAsia="Arial" w:hAnsi="Arial"/>
          <w:sz w:val="22"/>
          <w:szCs w:val="22"/>
        </w:rPr>
        <w:t xml:space="preserve">(ii) Continuing obligations indefinite in length are terminable at will. Contracts that contemplate continuing performance but are indefinite in duration can be terminated at the will of either party. [Citations omitted.]</w:t>
      </w:r>
    </w:p>
    <w:p>
      <w:pPr>
        <w:spacing w:after="160"/>
      </w:pPr>
      <w:r>
        <w:rPr>
          <w:rFonts w:ascii="Arial" w:cs="Arial" w:eastAsia="Arial" w:hAnsi="Arial"/>
          <w:sz w:val="22"/>
          <w:szCs w:val="22"/>
        </w:rPr>
        <w:t xml:space="preserve">Next, Mr. Brown supplies specific illustrations of these principles in the context of cases involving churches:</w:t>
      </w:r>
    </w:p>
    <w:p>
      <w:pPr>
        <w:spacing w:after="160"/>
      </w:pPr>
      <w:r>
        <w:rPr>
          <w:rFonts w:ascii="Arial" w:cs="Arial" w:eastAsia="Arial" w:hAnsi="Arial"/>
          <w:sz w:val="22"/>
          <w:szCs w:val="22"/>
        </w:rPr>
        <w:t xml:space="preserve">C. Common law presumptions can apply in church cases. In the landmark Jones v. Wolf, 443 U.S. 595, 607 (1979), where a congregation in Georgia had by majority vote elected to withdraw from the Presbyterian Church in the United States, the Court held that a common law rule (the presumptive common law rule of majority representation, which generally governs religious societies) would be consistent with neutral-principles analysis under the First Amendment, would avoid questions of religious doctrine or polity, and could be applied to determine which faction controlled a local parish in a hierarchical church.</w:t>
      </w:r>
    </w:p>
    <w:p>
      <w:pPr>
        <w:spacing w:after="160"/>
      </w:pPr>
      <w:r>
        <w:rPr>
          <w:rFonts w:ascii="Arial" w:cs="Arial" w:eastAsia="Arial" w:hAnsi="Arial"/>
          <w:sz w:val="22"/>
          <w:szCs w:val="22"/>
        </w:rPr>
        <w:t xml:space="preserve">. . . [T]he U.S. Supreme Court previously had recognized the right of congregations to withdraw from a general eldership in Maryland &amp; Virginia Churches v. Sharpsburg, 396 U.S. 367, 367-368 (1970).</w:t>
      </w:r>
    </w:p>
    <w:p>
      <w:pPr>
        <w:spacing w:after="160"/>
      </w:pPr>
      <w:r>
        <w:rPr>
          <w:rFonts w:ascii="Arial" w:cs="Arial" w:eastAsia="Arial" w:hAnsi="Arial"/>
          <w:sz w:val="22"/>
          <w:szCs w:val="22"/>
        </w:rPr>
        <w:t xml:space="preserve">3. The Diocese's common law right to withdraw is unrebutted.</w:t>
      </w:r>
    </w:p>
    <w:p>
      <w:pPr>
        <w:spacing w:after="160"/>
      </w:pPr>
      <w:r>
        <w:rPr>
          <w:rFonts w:ascii="Arial" w:cs="Arial" w:eastAsia="Arial" w:hAnsi="Arial"/>
          <w:sz w:val="22"/>
          <w:szCs w:val="22"/>
        </w:rPr>
        <w:t xml:space="preserve">A. No express prohibition of withdrawal. Plaintiffs in this case have not shown that The Episcopal Church has any express prohibition of diocesan withdrawal that would override the common law right to withdraw.</w:t>
      </w:r>
    </w:p>
    <w:p>
      <w:pPr>
        <w:spacing w:after="160"/>
      </w:pPr>
      <w:r>
        <w:rPr>
          <w:rFonts w:ascii="Arial" w:cs="Arial" w:eastAsia="Arial" w:hAnsi="Arial"/>
          <w:sz w:val="22"/>
          <w:szCs w:val="22"/>
        </w:rPr>
        <w:t xml:space="preserve">B. Implied prohibition would not suffice, and would be forbidden by First Amendment. An implied prohibition of withdrawal would be inadequate to satisfy the contract law requirement noted above that membership in perpetuity be expressed unequivocally. Moreover, plaintiffs cannot ask the courts to search for an implied prohibition of diocesan withdrawal, for that would be a "searching and therefore impermissible" inquiry into church polity. Serbian Orthodox Diocese v. Milivojevich, 426 U.S. 696, 723 (1976).</w:t>
      </w:r>
    </w:p>
    <w:p>
      <w:pPr>
        <w:spacing w:after="160"/>
      </w:pPr>
      <w:r>
        <w:rPr>
          <w:rFonts w:ascii="Arial" w:cs="Arial" w:eastAsia="Arial" w:hAnsi="Arial"/>
          <w:sz w:val="22"/>
          <w:szCs w:val="22"/>
        </w:rPr>
        <w:t xml:space="preserve">Having laid out the law supporting a diocese's right to withdraw from the common-law association which is the Episcopal Church (USA), Mr. Brown then draws the logical conclusion: if the diocese withdrew from the Church as it had every right to, then it can no longer be subject to the reach of the Church. "The Episcopal Church's efforts in 2009 to remove Bishop Iker and the trustees were void ab initio," he writes. This fact also makes the cases on which the Church relies so heavily irrelevant to the argument:</w:t>
      </w:r>
    </w:p>
    <w:p>
      <w:pPr>
        <w:spacing w:after="160"/>
      </w:pPr>
      <w:r>
        <w:rPr>
          <w:rFonts w:ascii="Arial" w:cs="Arial" w:eastAsia="Arial" w:hAnsi="Arial"/>
          <w:sz w:val="22"/>
          <w:szCs w:val="22"/>
        </w:rPr>
        <w:t xml:space="preserve">In the Serbian Orthodox Church and Greek Orthodox Church cases cited by plaintiffs, where the hierarchy possessed express authority to remove a bishop of a diocese or trustees of a parish, respectively, that authority was exercised against a diocese and a parish that were still part of the hierarchical church. The diocese and parish had not withdrawn, and they therefore remained subject to whatever degree of ecclesiastical authority the highest church judicatory possessed. In the instant case, however, the Diocese has withdrawn, making this a property dispute between independent entities rather than an "internal" church matter.</w:t>
      </w:r>
    </w:p>
    <w:p>
      <w:pPr>
        <w:spacing w:after="160"/>
      </w:pPr>
      <w:r>
        <w:rPr>
          <w:rFonts w:ascii="Arial" w:cs="Arial" w:eastAsia="Arial" w:hAnsi="Arial"/>
          <w:sz w:val="22"/>
          <w:szCs w:val="22"/>
        </w:rPr>
        <w:t xml:space="preserve">The next part of Mr. Brown's argument is specific to Texas law, and shows how the courts in that State have adopted a "neutral principles" approach. I omit summarizing it here, and pass to his third point:</w:t>
      </w:r>
    </w:p>
    <w:p>
      <w:pPr>
        <w:spacing w:after="160"/>
      </w:pPr>
      <w:r>
        <w:rPr>
          <w:rFonts w:ascii="Arial" w:cs="Arial" w:eastAsia="Arial" w:hAnsi="Arial"/>
          <w:sz w:val="22"/>
          <w:szCs w:val="22"/>
        </w:rPr>
        <w:t xml:space="preserve">ISSUE 3 Even If Texas Followed "Deference" Approach, Merely Being "Hierarchical" Does Not Entitle Church To "Deference"</w:t>
      </w:r>
    </w:p>
    <w:p>
      <w:pPr>
        <w:spacing w:after="160"/>
      </w:pPr>
      <w:r>
        <w:rPr>
          <w:rFonts w:ascii="Arial" w:cs="Arial" w:eastAsia="Arial" w:hAnsi="Arial"/>
          <w:sz w:val="22"/>
          <w:szCs w:val="22"/>
        </w:rPr>
        <w:t xml:space="preserve">1. No deference without tribunals and rules. Texas follows the neutral principles approach, as noted above. Even if Texas followed the "deference" approach, however, that approach would not automatically entitle a church to "deference" from the courts merely because the church was "hierarchical". Serbian Orthodox Diocese v. Milivojevich, 426 U.S. 696, 724-725 (1976). A church can be "hierarchical" and yet not have created appropriate hierarchical tribunals or internal rules to which a court can defer. The Milivojevich opinon concluded by holding:</w:t>
      </w:r>
    </w:p>
    <w:p>
      <w:pPr>
        <w:spacing w:after="160"/>
      </w:pPr>
      <w:r>
        <w:rPr>
          <w:rFonts w:ascii="Arial" w:cs="Arial" w:eastAsia="Arial" w:hAnsi="Arial"/>
          <w:sz w:val="22"/>
          <w:szCs w:val="22"/>
        </w:rPr>
        <w:t xml:space="preserve">[T]he First and Fourteenth Amendments permit hierarchical religious organizations to establish their own rules and regulations for internal discipline and government, and to create tribunals for adjudicating disputes over these matters. When this choice is exercised and ecclesiastical tribunals are created to decide disputes over the government and direction of subordinate bodies, the Constitution requires that civil courts accept their decisions as binding upon them. [italics added]</w:t>
      </w:r>
    </w:p>
    <w:p>
      <w:pPr>
        <w:spacing w:after="160"/>
      </w:pPr>
      <w:r>
        <w:rPr>
          <w:rFonts w:ascii="Arial" w:cs="Arial" w:eastAsia="Arial" w:hAnsi="Arial"/>
          <w:sz w:val="22"/>
          <w:szCs w:val="22"/>
        </w:rPr>
        <w:t xml:space="preserve">In the instant case plaintiffs have not shown that The Episcopal Church has created any hierarchical tribunal with authority and rules to make the many purported adjudications trumpeted by plaintiffs.</w:t>
      </w:r>
    </w:p>
    <w:p>
      <w:pPr>
        <w:spacing w:after="160"/>
      </w:pPr>
      <w:r>
        <w:rPr>
          <w:rFonts w:ascii="Arial" w:cs="Arial" w:eastAsia="Arial" w:hAnsi="Arial"/>
          <w:sz w:val="22"/>
          <w:szCs w:val="22"/>
        </w:rPr>
        <w:t xml:space="preserve">2. Compulsory deference rejected. Plaintiffs argue over and over that courts must always defer to a church's decision, but the rule of "compulsory deference" was expressly rejected by the U.S. Supreme Court in Jones v. Wolf, at 605.</w:t>
      </w:r>
    </w:p>
    <w:p>
      <w:pPr>
        <w:spacing w:after="160"/>
      </w:pPr>
      <w:r>
        <w:rPr>
          <w:rFonts w:ascii="Arial" w:cs="Arial" w:eastAsia="Arial" w:hAnsi="Arial"/>
          <w:sz w:val="22"/>
          <w:szCs w:val="22"/>
        </w:rPr>
        <w:t xml:space="preserve">These are telling points, and are inarguable. General Convention is not a court, but a legislature. As such, it cannot "adjudicate" anything; it can only pass new resolutions and canons. Article IX of ECUSA's Constitution grants what adjudicatory powers there are in the Church to the ecclesiastical courts (which, however, have no jurisdiction over church property cases).</w:t>
      </w:r>
    </w:p>
    <w:p>
      <w:pPr>
        <w:spacing w:after="160"/>
      </w:pPr>
      <w:r>
        <w:rPr>
          <w:rFonts w:ascii="Arial" w:cs="Arial" w:eastAsia="Arial" w:hAnsi="Arial"/>
          <w:sz w:val="22"/>
          <w:szCs w:val="22"/>
        </w:rPr>
        <w:t xml:space="preserve">You can read points four and five in the uploaded document. Suffice it to say that in just fifteen brief pages, Mark A. Brown has sliced the heart out of 815's legal contentions, and exposed them for the hollow and unsupported propositions which they are.</w:t>
      </w:r>
    </w:p>
    <w:p>
      <w:pPr>
        <w:spacing w:after="160"/>
      </w:pPr>
      <w:r>
        <w:rPr>
          <w:rFonts w:ascii="Arial" w:cs="Arial" w:eastAsia="Arial" w:hAnsi="Arial"/>
          <w:sz w:val="22"/>
          <w:szCs w:val="22"/>
        </w:rPr>
        <w:t xml:space="preserve">The Wizard of Oz, indeed. Nice job, Mr. Brown. Consider the score between you and ECUSA more than even.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FT WORTH: LAWSUIT: SAN ANGELO ATTORNEY BRIEFS WHY DIOCESE CAN LEAVE</dc:title>
  <dc:creator>VirtueOnline Archive</dc:creator>
  <cp:lastModifiedBy>Un-named</cp:lastModifiedBy>
  <cp:revision>1</cp:revision>
  <dcterms:created xsi:type="dcterms:W3CDTF">2026-04-22T11:55:12.241Z</dcterms:created>
  <dcterms:modified xsi:type="dcterms:W3CDTF">2026-04-22T11:55:12.241Z</dcterms:modified>
</cp:coreProperties>
</file>

<file path=docProps/custom.xml><?xml version="1.0" encoding="utf-8"?>
<Properties xmlns="http://schemas.openxmlformats.org/officeDocument/2006/custom-properties" xmlns:vt="http://schemas.openxmlformats.org/officeDocument/2006/docPropsVTypes"/>
</file>