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ACHIEVING DISAGREEMENT: SEVEN QUESTIONS POINT TOWARD THEOLOGICAL CLARITY</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R. Sumner  |  http://www.livingchurch.org/news/news-updates/2011/1/14/achieving-disagreement  |  January 14, 2011</w:t>
      </w:r>
    </w:p>
    <w:p>
      <w:pPr>
        <w:spacing w:after="160"/>
      </w:pPr>
      <w:r>
        <w:rPr>
          <w:rFonts w:ascii="Arial" w:cs="Arial" w:eastAsia="Arial" w:hAnsi="Arial"/>
          <w:sz w:val="22"/>
          <w:szCs w:val="22"/>
        </w:rPr>
        <w:t xml:space="preserve">Leander Harding and Christopher Wells mean in "Teaching Jesus and the Unity of the Church" [TLC, Dec. 26] to put first things first, and so should we as respondents. It is only from theological clarity on primary issues that a similar light can be shed on what is secondary. We would all do well to heed their call to pay renewed attention to the unum necessarium, the one thing necessary. I would also note the charity which is their motive and the hope which is their end, namely, that the Holy Spirit might in such meditation do a work of reconciliation and renewal in us who too readily fall into spiritual despair ("It's all power politics," "Everyone is fixed in what they think").</w:t>
      </w:r>
    </w:p>
    <w:p>
      <w:pPr>
        <w:spacing w:after="160"/>
      </w:pPr>
      <w:r>
        <w:rPr>
          <w:rFonts w:ascii="Arial" w:cs="Arial" w:eastAsia="Arial" w:hAnsi="Arial"/>
          <w:sz w:val="22"/>
          <w:szCs w:val="22"/>
        </w:rPr>
        <w:t xml:space="preserve">While I agree that this invitation rightly went out first to those called to teach the faith, I suspect, in the spirit of Bishop John C. Bauerschmidt and Dean William S. Stafford's response ("Go to the Sources"), that the renewing impetus for such an effort may come from the grassroots, from younger Episcopalians, who are often more eclectic, and in some ways more traditional, than we of their parents' generation would expect.</w:t>
      </w:r>
    </w:p>
    <w:p>
      <w:pPr>
        <w:spacing w:after="160"/>
      </w:pPr>
      <w:r>
        <w:rPr>
          <w:rFonts w:ascii="Arial" w:cs="Arial" w:eastAsia="Arial" w:hAnsi="Arial"/>
          <w:sz w:val="22"/>
          <w:szCs w:val="22"/>
        </w:rPr>
        <w:t xml:space="preserve">My friend Philip Turner tells the story of a colleague who once emerged from a faculty meeting and said, "After three years we have finally achieved disagreement." He meant that until then, in their arguments, the debaters had been talking past each other. It is obviously only against a background of agreement that meaningful and fruitful disagreement can be had. Several of the respondents in TLC's symposium commented, in a similar vein, that this common effort should not aim at the cessation of disagreement. But it can aim at more cogent and focused disagreement among brothers and sisters in Christ.</w:t>
      </w:r>
    </w:p>
    <w:p>
      <w:pPr>
        <w:spacing w:after="160"/>
      </w:pPr>
      <w:r>
        <w:rPr>
          <w:rFonts w:ascii="Arial" w:cs="Arial" w:eastAsia="Arial" w:hAnsi="Arial"/>
          <w:sz w:val="22"/>
          <w:szCs w:val="22"/>
        </w:rPr>
        <w:t xml:space="preserve">As Bishop Ian Douglas and Dr. Jo Bailey Wells rightly point out ("Emphasize Narrative, Liturgy, and Mission"), one's opponents also say the Creeds; nor should we presume such windows into their souls as to question their sincerity. But matters turn out to be more complex than this, which is why we are called to expound, and not simply affirm, the Creeds' content.</w:t>
      </w:r>
    </w:p>
    <w:p>
      <w:pPr>
        <w:spacing w:after="160"/>
      </w:pPr>
      <w:r>
        <w:rPr>
          <w:rFonts w:ascii="Arial" w:cs="Arial" w:eastAsia="Arial" w:hAnsi="Arial"/>
          <w:sz w:val="22"/>
          <w:szCs w:val="22"/>
        </w:rPr>
        <w:t xml:space="preserve">We may consider the great Bishop Charles Gore, the melancholy protagonist in Michael Ramsey's Anglican Theology from Gore to Temple. Gore wanted to take full account of historical criticism of the Bible and to engage with modernity, in his case in the form of evolution, and from our different perches we would all applaud this. Bishop Gore believed that the Creeds could remain a kind of safe haven from this hurly-burly, though even in his time, and afterward, a more extreme version of that same modernist method had gone to work on the Creeds themselves (as examples of fourth-century power politics, deployments of outdated Greek metaphysics, premodern cosmology, and so forth).</w:t>
      </w:r>
    </w:p>
    <w:p>
      <w:pPr>
        <w:spacing w:after="160"/>
      </w:pPr>
      <w:r>
        <w:rPr>
          <w:rFonts w:ascii="Arial" w:cs="Arial" w:eastAsia="Arial" w:hAnsi="Arial"/>
          <w:sz w:val="22"/>
          <w:szCs w:val="22"/>
        </w:rPr>
        <w:t xml:space="preserve">As a result people could keep reciting the Creeds but mean different things by them. In this vein, a generation ago the renowned pluralist John Hick would say that he enthusiastically affirmed the Creeds, though they were for him only a familiar kind of picture-language for the inexpressible transcendent. A more particularly Anglican tack might be to say that the sheer act of praying (or talking, or in this case confessing the Creeds) together constitutes our unity. My point is not to accuse, but only to point out that saying the Creeds together (which I wholeheartedly support) sometimes locates the modernist question more than it solves it.</w:t>
      </w:r>
    </w:p>
    <w:p>
      <w:pPr>
        <w:spacing w:after="160"/>
      </w:pPr>
      <w:r>
        <w:rPr>
          <w:rFonts w:ascii="Arial" w:cs="Arial" w:eastAsia="Arial" w:hAnsi="Arial"/>
          <w:sz w:val="22"/>
          <w:szCs w:val="22"/>
        </w:rPr>
        <w:t xml:space="preserve">Unfortunately the same kind of point can be made for some of the other words that are quite rightly used in the responses to identify the distinctive features of our faith. Jesus is indeed unique, but "uniqueness" per se is something that any one of us could claim. Everything depends on how we fill out our account of what Jesus is unique in, namely saving. Likewise "narrative" was originally intended to point out the distinctiveness of the Bible's story, but too easily can point to the storied nature of each of our lives. The theological term du jour is "mission," which would stress the main actor of that biblical narrative, God: what evangelical could argue with that? But as a missiologist like Bishop Douglas well knows, all too easily "mission of God" has devolved in recent history into a confirmation of our own secular commitments. These rallying points - creed, uniqueness, narrative, mission - are good ones, but more needs to be said about each. They are points of convergence which contain within themselves, in the modern era, divergences as well.</w:t>
      </w:r>
    </w:p>
    <w:p>
      <w:pPr>
        <w:spacing w:after="160"/>
      </w:pPr>
      <w:r>
        <w:rPr>
          <w:rFonts w:ascii="Arial" w:cs="Arial" w:eastAsia="Arial" w:hAnsi="Arial"/>
          <w:sz w:val="22"/>
          <w:szCs w:val="22"/>
        </w:rPr>
        <w:t xml:space="preserve">Still, we would wish to think, with the Anglican Samuel Taylor Coleridge, that our agreements are yet more true than our disagreements. In this spirit, and taking all of our responses in unison, we can discern the outline of a common claim. What we share as catholic, albeit conflict-ridden, Christians is a common understanding of the stage or setting for our common life, of where we are, and so of what we are here for, even as we fight. These form the Bible's hermeneutical home. We are the whole people of God (so Sarah Dylan Breuer and Dale Rye in "Remember the Laity"), a communion across time and space and cultures, ordered in our common life. And what we are doing together is hearing the Word of God in Scripture -one important thing the Creeds, the "rules of faith," were meant to help us to do. But we do so rightly as we celebrate the sacraments of baptism and Eucharist together (so the strategic emphasis of Douglas and Wells) in the midst of the cloud of witnesses who inform our present (so Bauerschmidt and Stafford) - we who expect that calling and commanding Word to help us make sense of the world God puts us in (so Bishop Shannon S. Johnston and Dean Ian Markham on modernity in "A Strongly Creedal Church") and to send us out in mission.</w:t>
      </w:r>
    </w:p>
    <w:p>
      <w:pPr>
        <w:spacing w:after="160"/>
      </w:pPr>
      <w:r>
        <w:rPr>
          <w:rFonts w:ascii="Arial" w:cs="Arial" w:eastAsia="Arial" w:hAnsi="Arial"/>
          <w:sz w:val="22"/>
          <w:szCs w:val="22"/>
        </w:rPr>
        <w:t xml:space="preserve">Our respondents have given us, like pieces of a Christmas jigsaw, the scene in which we receive God's Word, and through it his grace. Those elements are not answers in themselves, but together they make up the tradition within whose confines we struggle to make judgments about the shape of our common moral life (so the appeal to Alasdair MacIntyre in Johnston and Markham).</w:t>
      </w:r>
    </w:p>
    <w:p>
      <w:pPr>
        <w:spacing w:after="160"/>
      </w:pPr>
      <w:r>
        <w:rPr>
          <w:rFonts w:ascii="Arial" w:cs="Arial" w:eastAsia="Arial" w:hAnsi="Arial"/>
          <w:sz w:val="22"/>
          <w:szCs w:val="22"/>
        </w:rPr>
        <w:t xml:space="preserve">Seven sets of Creed-inspired clarifying and distinguishing questions may serve as "heuristics," tools to help us discover what we really mean by the more general affirmations we might all wish to make.</w:t>
      </w:r>
    </w:p>
    <w:p>
      <w:pPr>
        <w:spacing w:after="160"/>
      </w:pPr>
      <w:r>
        <w:rPr>
          <w:rFonts w:ascii="Arial" w:cs="Arial" w:eastAsia="Arial" w:hAnsi="Arial"/>
          <w:sz w:val="22"/>
          <w:szCs w:val="22"/>
        </w:rPr>
        <w:t xml:space="preserve">1. "I Believe": The Creeds were originally memorized, and then confessed at the baptism of anew Christian. Throughout history members of the nations have come to that faith out of a great array of cultures and other religions. Surely we would all denounce any forms of sharing that faith which involve manipulation, coercion, or violence (see Bishop Andrew Doyle and Dean Douglas Travis, "Telling the Story of Jesus"). But, presuming these to be excluded, are we prepared to say that a nonbeliever coming to the faith is in and of itself always a cause for celebration? The Creeds also speak of the resurrection of the dead, when all will stand before Jesus Christ himself. What does this imply about the relation between the claim of the Christian Gospel and those of all other religions?</w:t>
      </w:r>
    </w:p>
    <w:p>
      <w:pPr>
        <w:spacing w:after="160"/>
      </w:pPr>
      <w:r>
        <w:rPr>
          <w:rFonts w:ascii="Arial" w:cs="Arial" w:eastAsia="Arial" w:hAnsi="Arial"/>
          <w:sz w:val="22"/>
          <w:szCs w:val="22"/>
        </w:rPr>
        <w:t xml:space="preserve">2. "for us and for our salvation": We are keen to confess our Trinitarian faith - how surprised the Episcopal Church's theological avant-garde of half a century ago would have been. Around the articulation of the Atonement, the doctrine of the work of Christ, there was in history no agreed dogmatic statement, and in our own context there is considerable difference of opinion. Yet in the New Testament we can see the close connection between the Trinity and the Atonement: "God so loved the world that he sent his Son"; "this is my beloved Son"; "Father, forgive them." In a course on other religious traditions, I once invited a Shiite philosopher to visit, and he offered us the following critique: "God is omnipotent and can forgive with a wave of the hand. What sense can it make for you to speak of his sending his Son to die?" The logic of the Trinitarian faith requires a cogent answer to his question. The readiest answer might be that it illustrates God's love (the "Abelardian" alternative in Gustaf Aulén's famous "Christus Victor" typology). But in this case the death, and the life of which it is the culmination, only illustrate something already and independently true, and do not themselves accomplish anything. So the question remains: What did Jesus' death accomplish "for us and for our salvation"? What do we imagine it to have saved us from?</w:t>
      </w:r>
    </w:p>
    <w:p>
      <w:pPr>
        <w:spacing w:after="160"/>
      </w:pPr>
      <w:r>
        <w:rPr>
          <w:rFonts w:ascii="Arial" w:cs="Arial" w:eastAsia="Arial" w:hAnsi="Arial"/>
          <w:sz w:val="22"/>
          <w:szCs w:val="22"/>
        </w:rPr>
        <w:t xml:space="preserve">3. "and was made man": The Creeds clearly served an original purpose of fencing false interpretations of the Gospel (Gnosticism, doceticism, adoptionism, Arianism). In the case of the dogma about the Incarnation (found in the Chalcedonian formula in the back of the Prayer Book), room was also left for differing, though orthodox, articulations. In the modern era there have been great debates about how to work out the meaning of the Incarnation. For example, an influential, though ultimately heterodox, alternative was offered by Hegel, who understood the Incarnation to be a symbolic expression of the inclusion of humankind, in its concreteness and as a whole, into the life of the Spirit. In our own time, how can we express the creedal claim that Jesus is the incarnate Son in his person and not just in the function he plays for Christians? How was his relation to his Father qualitatively distinct from that of all other holy individuals? What "fencing" role should the Creeds play today?</w:t>
      </w:r>
    </w:p>
    <w:p>
      <w:pPr>
        <w:spacing w:after="160"/>
      </w:pPr>
      <w:r>
        <w:rPr>
          <w:rFonts w:ascii="Arial" w:cs="Arial" w:eastAsia="Arial" w:hAnsi="Arial"/>
          <w:sz w:val="22"/>
          <w:szCs w:val="22"/>
        </w:rPr>
        <w:t xml:space="preserve">4. "he rose again": Who we are as distinct human creatures includes our bodies. Likewise the claim that Jesus himself, raised and ascended, is with us and rules over us, is related to his bodily resurrection (the bodily part being assumed in what the Bible means by "resurrection"). Against all forms of Gnosticism, ancient and modern, the faith of the Church has always affirmed the creation, Jesus' bodily resurrection, the sacramental life of the Church, and the hope of a new heaven and a new earth. As yet we see "through a glass darkly," and cannot describe what a "spiritual body" would be (1 Cor. 13:12,15:44). How might we articulate our belief in the bodily resurrection of Jesus from the dead?</w:t>
      </w:r>
    </w:p>
    <w:p>
      <w:pPr>
        <w:spacing w:after="160"/>
      </w:pPr>
      <w:r>
        <w:rPr>
          <w:rFonts w:ascii="Arial" w:cs="Arial" w:eastAsia="Arial" w:hAnsi="Arial"/>
          <w:sz w:val="22"/>
          <w:szCs w:val="22"/>
        </w:rPr>
        <w:t xml:space="preserve">5. "according to the prophets": It is noteworthy that the Anglican Communion, in response to its conflicts, has now turned to the encouragement of shared reflection on hermeneutics (how we understand the Scriptures). Within the Creeds themselves we read of the witness of the prophets attesting to Christ's resurrection. According to modern historical criticism, those prophecies referred to other, earlier settings and persons. But that is not the end of the matter, for those passages also offer "types" of the later event of Jesus Christ. Clearly we are not dealing with the acceptance, or not, of historical criticism, nor with the simple dichotomy of the literal vs. the contextual. So the question, with profound implications, not least for preaching and theological education, presents itself: How do we as creedal Christians understand the place of historical criticism within the wider task of interpreting the Bible?</w:t>
      </w:r>
    </w:p>
    <w:p>
      <w:pPr>
        <w:spacing w:after="160"/>
      </w:pPr>
      <w:r>
        <w:rPr>
          <w:rFonts w:ascii="Arial" w:cs="Arial" w:eastAsia="Arial" w:hAnsi="Arial"/>
          <w:sz w:val="22"/>
          <w:szCs w:val="22"/>
        </w:rPr>
        <w:t xml:space="preserve">6. "one baptism": Because the original context of the Creeds was baptism, they pertained to conversion. But what is conversion, and what marks it? Anglicanism has preserved the sacramental structure of the Catholic tradition, though it has also insisted on the evangelical, renewal-oriented emphasis of the Reformation (and before, as Bauerschmidt and Stafford rightly point out) on a living faith and a converted heart (the hollowness of whose absence Dean Joseph Britton and Bishop Geralyn Wolf point out in "Staying Centered"). We can watch the seesaw throughout Anglican history, such as in the 19th-century dispute over baptismal regeneration. If we detour into contemporary culture, we find an emphasis on "personal relationship" as well as a thirst among "emergents" for "symbol." We must not drive a wedge between the two, especially as the Creeds imply that baptism is an "effectual sign" providing a share in the forgiveness to which it points. So we may ask: In what relationship, in a theology of conversion, do we place sacrament and personal change? Hope and realization? What does all this mean for catechism; for confirmation; for a practice like communion without baptism?</w:t>
      </w:r>
    </w:p>
    <w:p>
      <w:pPr>
        <w:spacing w:after="160"/>
      </w:pPr>
      <w:r>
        <w:rPr>
          <w:rFonts w:ascii="Arial" w:cs="Arial" w:eastAsia="Arial" w:hAnsi="Arial"/>
          <w:sz w:val="22"/>
          <w:szCs w:val="22"/>
        </w:rPr>
        <w:t xml:space="preserve">7. "one, holy, catholic, and apostolic": Even amid remarkable diversity in the Church across centuries, continents, and cultures, we can discern, with the help of the Holy Spirit, continuity throughout. It is worth noting that the Creeds themselves appeal to a monotheistic profession of faith, the saving events of Christ, a philosophical formulation ("of one substance"), the authority of the Old Testament, the sacrament of baptism, the "keys" (forgiveness), and the hope of God's final day. So the theological discernment of our unity, and of the limits of our diversity, does not depend on doctrine alone, though it obviously includes doctrine. In this light, we can agree with the strategic judgment of Douglas and Wells that baptismal practice may be the best starting place for our common exposition. But we may well ask: How can we be sure that our reflection on baptism becomes a means to articulate what unites us and not an avoidance thereof? How does a focus on our own actions in the baptismal covenant (as liturgy, social action, evangelism, etc.) avoid displacing a specification of the One about whom we speak and act (in other words, theology)?</w:t>
      </w:r>
    </w:p>
    <w:p>
      <w:pPr>
        <w:spacing w:after="160"/>
      </w:pPr>
      <w:r>
        <w:rPr>
          <w:rFonts w:ascii="Arial" w:cs="Arial" w:eastAsia="Arial" w:hAnsi="Arial"/>
          <w:sz w:val="22"/>
          <w:szCs w:val="22"/>
        </w:rPr>
        <w:t xml:space="preserve">The reader will notice that our theologically grounded, and irenic, project of creedal exploration leads back to the seeming morass of the limits of context, the nature of communion, things indifferent and essential. Even so, it is a good thing, in and of itself, for a season, to think on the verities of our salvation, accomplished quite in spite of our quarrelsome selves.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Dr. George R. Sumner is Principal and Helliwell Professor of World Mission at Wycliffe College, Toronto.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ACHIEVING DISAGREEMENT: SEVEN QUESTIONS POINT TOWARD THEOLOGICAL CLARITY</dc:title>
  <dc:creator>VirtueOnline Archive</dc:creator>
  <cp:lastModifiedBy>Un-named</cp:lastModifiedBy>
  <cp:revision>1</cp:revision>
  <dcterms:created xsi:type="dcterms:W3CDTF">2026-04-22T11:55:24.580Z</dcterms:created>
  <dcterms:modified xsi:type="dcterms:W3CDTF">2026-04-22T11:55:24.580Z</dcterms:modified>
</cp:coreProperties>
</file>

<file path=docProps/custom.xml><?xml version="1.0" encoding="utf-8"?>
<Properties xmlns="http://schemas.openxmlformats.org/officeDocument/2006/custom-properties" xmlns:vt="http://schemas.openxmlformats.org/officeDocument/2006/docPropsVTypes"/>
</file>